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D4169" w14:textId="76327A1D" w:rsidR="000314F2" w:rsidRDefault="000314F2" w:rsidP="000314F2">
      <w:pPr>
        <w:tabs>
          <w:tab w:val="left" w:pos="1701"/>
          <w:tab w:val="right" w:pos="9923"/>
        </w:tabs>
        <w:spacing w:before="120"/>
        <w:rPr>
          <w:rFonts w:ascii="Arial" w:eastAsia="MS Mincho" w:hAnsi="Arial"/>
          <w:b/>
          <w:sz w:val="24"/>
          <w:szCs w:val="24"/>
          <w:lang w:eastAsia="en-GB"/>
        </w:rPr>
      </w:pPr>
      <w:r>
        <w:rPr>
          <w:rFonts w:ascii="Arial" w:eastAsia="MS Mincho" w:hAnsi="Arial"/>
          <w:b/>
          <w:sz w:val="24"/>
          <w:szCs w:val="24"/>
          <w:lang w:eastAsia="en-GB"/>
        </w:rPr>
        <w:t>3GPP TSG-RAN WG2 Meeting #113 electronic</w:t>
      </w:r>
      <w:r>
        <w:rPr>
          <w:rFonts w:ascii="Arial" w:eastAsia="MS Mincho" w:hAnsi="Arial"/>
          <w:b/>
          <w:sz w:val="24"/>
          <w:szCs w:val="24"/>
          <w:lang w:eastAsia="en-GB"/>
        </w:rPr>
        <w:tab/>
      </w:r>
      <w:r w:rsidR="00A57B87" w:rsidRPr="00A57B87">
        <w:rPr>
          <w:rFonts w:ascii="Arial" w:eastAsia="MS Mincho" w:hAnsi="Arial"/>
          <w:b/>
          <w:sz w:val="24"/>
          <w:szCs w:val="24"/>
          <w:lang w:eastAsia="en-GB"/>
        </w:rPr>
        <w:t>R2-2101404</w:t>
      </w:r>
    </w:p>
    <w:p w14:paraId="68F74F37" w14:textId="29F35E72" w:rsidR="00331DC9" w:rsidRDefault="000314F2" w:rsidP="000314F2">
      <w:pPr>
        <w:widowControl/>
        <w:spacing w:after="120"/>
        <w:jc w:val="left"/>
        <w:rPr>
          <w:rFonts w:ascii="Arial" w:eastAsia="Arial Unicode MS" w:hAnsi="Arial" w:cs="Arial"/>
          <w:b/>
          <w:bCs/>
          <w:kern w:val="0"/>
          <w:sz w:val="24"/>
          <w:szCs w:val="20"/>
          <w:lang w:eastAsia="en-US"/>
        </w:rPr>
      </w:pPr>
      <w:r>
        <w:rPr>
          <w:rFonts w:ascii="Arial" w:eastAsia="Arial Unicode MS" w:hAnsi="Arial"/>
          <w:b/>
          <w:bCs/>
          <w:kern w:val="0"/>
          <w:sz w:val="24"/>
          <w:szCs w:val="20"/>
        </w:rPr>
        <w:t xml:space="preserve">Online, 25 Jan – 05 </w:t>
      </w:r>
      <w:proofErr w:type="gramStart"/>
      <w:r>
        <w:rPr>
          <w:rFonts w:ascii="Arial" w:eastAsia="Arial Unicode MS" w:hAnsi="Arial"/>
          <w:b/>
          <w:bCs/>
          <w:kern w:val="0"/>
          <w:sz w:val="24"/>
          <w:szCs w:val="20"/>
        </w:rPr>
        <w:t>Feb,</w:t>
      </w:r>
      <w:proofErr w:type="gramEnd"/>
      <w:r>
        <w:rPr>
          <w:rFonts w:ascii="Arial" w:eastAsia="Arial Unicode MS" w:hAnsi="Arial"/>
          <w:b/>
          <w:bCs/>
          <w:kern w:val="0"/>
          <w:sz w:val="24"/>
          <w:szCs w:val="20"/>
        </w:rPr>
        <w:t xml:space="preserve"> 2021                 </w:t>
      </w:r>
    </w:p>
    <w:p w14:paraId="72A6E0B2" w14:textId="6B3FE63F" w:rsidR="00331DC9" w:rsidRDefault="00331DC9" w:rsidP="00331DC9">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CF2F64" w:rsidRPr="00CF2F64">
        <w:rPr>
          <w:rFonts w:ascii="Arial" w:eastAsia="Arial Unicode MS" w:hAnsi="Arial" w:cs="Arial"/>
          <w:b/>
          <w:bCs/>
          <w:kern w:val="0"/>
          <w:sz w:val="24"/>
          <w:szCs w:val="20"/>
        </w:rPr>
        <w:t>8.10.2.1 RACH aspects</w:t>
      </w:r>
    </w:p>
    <w:p w14:paraId="07070634" w14:textId="77777777" w:rsidR="00331DC9" w:rsidRDefault="00331DC9" w:rsidP="00331DC9">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NEC</w:t>
      </w:r>
    </w:p>
    <w:p w14:paraId="33859DFB" w14:textId="03515FD2" w:rsidR="00331DC9" w:rsidRDefault="00331DC9" w:rsidP="00331DC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b/>
          <w:bCs/>
          <w:kern w:val="0"/>
          <w:sz w:val="24"/>
          <w:szCs w:val="20"/>
        </w:rPr>
        <w:tab/>
      </w:r>
      <w:r>
        <w:rPr>
          <w:rFonts w:ascii="Arial" w:eastAsia="Arial Unicode MS" w:hAnsi="Arial" w:cs="Arial"/>
          <w:b/>
          <w:bCs/>
          <w:kern w:val="0"/>
          <w:sz w:val="24"/>
          <w:szCs w:val="20"/>
        </w:rPr>
        <w:tab/>
      </w:r>
      <w:r w:rsidRPr="00331DC9">
        <w:rPr>
          <w:rFonts w:ascii="Arial" w:eastAsia="Arial Unicode MS" w:hAnsi="Arial" w:cs="Arial"/>
          <w:b/>
          <w:bCs/>
          <w:kern w:val="0"/>
          <w:sz w:val="24"/>
          <w:szCs w:val="20"/>
        </w:rPr>
        <w:t xml:space="preserve">Support </w:t>
      </w:r>
      <w:r w:rsidR="00C3035B">
        <w:rPr>
          <w:rFonts w:ascii="Arial" w:eastAsia="Arial Unicode MS" w:hAnsi="Arial" w:cs="Arial"/>
          <w:b/>
          <w:bCs/>
          <w:kern w:val="0"/>
          <w:sz w:val="24"/>
          <w:szCs w:val="20"/>
        </w:rPr>
        <w:t xml:space="preserve">of </w:t>
      </w:r>
      <w:r w:rsidRPr="00331DC9">
        <w:rPr>
          <w:rFonts w:ascii="Arial" w:eastAsia="Arial Unicode MS" w:hAnsi="Arial" w:cs="Arial"/>
          <w:b/>
          <w:bCs/>
          <w:kern w:val="0"/>
          <w:sz w:val="24"/>
          <w:szCs w:val="20"/>
        </w:rPr>
        <w:t>UE</w:t>
      </w:r>
      <w:r w:rsidR="00C3035B">
        <w:rPr>
          <w:rFonts w:ascii="Arial" w:eastAsia="Arial Unicode MS" w:hAnsi="Arial" w:cs="Arial"/>
          <w:b/>
          <w:bCs/>
          <w:kern w:val="0"/>
          <w:sz w:val="24"/>
          <w:szCs w:val="20"/>
        </w:rPr>
        <w:t>s</w:t>
      </w:r>
      <w:r w:rsidRPr="00331DC9">
        <w:rPr>
          <w:rFonts w:ascii="Arial" w:eastAsia="Arial Unicode MS" w:hAnsi="Arial" w:cs="Arial"/>
          <w:b/>
          <w:bCs/>
          <w:kern w:val="0"/>
          <w:sz w:val="24"/>
          <w:szCs w:val="20"/>
        </w:rPr>
        <w:t xml:space="preserve"> with</w:t>
      </w:r>
      <w:r w:rsidR="00B72116">
        <w:rPr>
          <w:rFonts w:ascii="Arial" w:eastAsia="Arial Unicode MS" w:hAnsi="Arial" w:cs="Arial"/>
          <w:b/>
          <w:bCs/>
          <w:kern w:val="0"/>
          <w:sz w:val="24"/>
          <w:szCs w:val="20"/>
        </w:rPr>
        <w:t xml:space="preserve"> different</w:t>
      </w:r>
      <w:r w:rsidRPr="00331DC9">
        <w:rPr>
          <w:rFonts w:ascii="Arial" w:eastAsia="Arial Unicode MS" w:hAnsi="Arial" w:cs="Arial"/>
          <w:b/>
          <w:bCs/>
          <w:kern w:val="0"/>
          <w:sz w:val="24"/>
          <w:szCs w:val="20"/>
        </w:rPr>
        <w:t xml:space="preserve"> pre-compensation</w:t>
      </w:r>
      <w:r w:rsidR="00B72116">
        <w:rPr>
          <w:rFonts w:ascii="Arial" w:eastAsia="Arial Unicode MS" w:hAnsi="Arial" w:cs="Arial"/>
          <w:b/>
          <w:bCs/>
          <w:kern w:val="0"/>
          <w:sz w:val="24"/>
          <w:szCs w:val="20"/>
        </w:rPr>
        <w:t xml:space="preserve"> capabilities</w:t>
      </w:r>
    </w:p>
    <w:p w14:paraId="280A7CA7" w14:textId="77777777" w:rsidR="00331DC9" w:rsidRDefault="00331DC9" w:rsidP="00331DC9">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b/>
          <w:bCs/>
          <w:kern w:val="0"/>
          <w:sz w:val="24"/>
          <w:szCs w:val="20"/>
        </w:rPr>
        <w:tab/>
      </w:r>
      <w:r>
        <w:rPr>
          <w:rFonts w:ascii="Arial" w:eastAsia="Arial Unicode MS" w:hAnsi="Arial" w:cs="Arial"/>
          <w:b/>
          <w:bCs/>
          <w:kern w:val="0"/>
          <w:sz w:val="24"/>
          <w:szCs w:val="20"/>
        </w:rPr>
        <w:tab/>
      </w:r>
      <w:r>
        <w:rPr>
          <w:rFonts w:ascii="Arial" w:eastAsia="Arial Unicode MS" w:hAnsi="Arial" w:cs="Arial"/>
          <w:b/>
          <w:bCs/>
          <w:kern w:val="0"/>
          <w:sz w:val="24"/>
          <w:szCs w:val="20"/>
          <w:lang w:eastAsia="en-US"/>
        </w:rPr>
        <w:t>Discussion</w:t>
      </w:r>
    </w:p>
    <w:p w14:paraId="355CDDAC" w14:textId="77777777" w:rsidR="00331DC9" w:rsidRDefault="00331DC9" w:rsidP="00331DC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1B33E7CA" w14:textId="5969E833" w:rsidR="001D2DFA" w:rsidRDefault="001D2DFA" w:rsidP="00331DC9">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Following the NTN SI, TR 38.821 </w:t>
      </w:r>
      <w:r w:rsidR="00D9413E">
        <w:rPr>
          <w:rFonts w:ascii="Arial" w:eastAsia="Arial Unicode MS" w:hAnsi="Arial"/>
          <w:kern w:val="0"/>
          <w:sz w:val="20"/>
          <w:szCs w:val="20"/>
        </w:rPr>
        <w:t>stat</w:t>
      </w:r>
      <w:r>
        <w:rPr>
          <w:rFonts w:ascii="Arial" w:eastAsia="Arial Unicode MS" w:hAnsi="Arial"/>
          <w:kern w:val="0"/>
          <w:sz w:val="20"/>
          <w:szCs w:val="20"/>
        </w:rPr>
        <w:t>ed:</w:t>
      </w:r>
    </w:p>
    <w:p w14:paraId="2D5F2227" w14:textId="77777777" w:rsidR="00D9413E" w:rsidRPr="00D9413E" w:rsidRDefault="00D9413E" w:rsidP="00D9413E">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kern w:val="0"/>
          <w:sz w:val="20"/>
          <w:szCs w:val="20"/>
        </w:rPr>
      </w:pPr>
      <w:r w:rsidRPr="00D9413E">
        <w:rPr>
          <w:rFonts w:ascii="Arial" w:eastAsia="Arial Unicode MS" w:hAnsi="Arial"/>
          <w:kern w:val="0"/>
          <w:sz w:val="20"/>
          <w:szCs w:val="20"/>
        </w:rPr>
        <w:t>Problem Statement</w:t>
      </w:r>
    </w:p>
    <w:p w14:paraId="35AE01AB" w14:textId="77777777" w:rsidR="00D9413E" w:rsidRPr="00D9413E" w:rsidRDefault="00D9413E" w:rsidP="00D9413E">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kern w:val="0"/>
          <w:sz w:val="20"/>
          <w:szCs w:val="20"/>
        </w:rPr>
      </w:pPr>
      <w:r w:rsidRPr="00D9413E">
        <w:rPr>
          <w:rFonts w:ascii="Arial" w:eastAsia="Arial Unicode MS" w:hAnsi="Arial"/>
          <w:kern w:val="0"/>
          <w:sz w:val="20"/>
          <w:szCs w:val="20"/>
        </w:rPr>
        <w:t xml:space="preserve">If there are both UEs that have GNSS and non-GNSS capabilities and given that the random access scheme for these might be different, then it should be possible for the network to separate the resources and control access to the network given that the random access procedures and the resource may look very different. </w:t>
      </w:r>
    </w:p>
    <w:p w14:paraId="6F82CC3E" w14:textId="77777777" w:rsidR="00D9413E" w:rsidRPr="00D9413E" w:rsidRDefault="00D9413E" w:rsidP="00D9413E">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kern w:val="0"/>
          <w:sz w:val="20"/>
          <w:szCs w:val="20"/>
        </w:rPr>
      </w:pPr>
      <w:r w:rsidRPr="00D9413E">
        <w:rPr>
          <w:rFonts w:ascii="Arial" w:eastAsia="Arial Unicode MS" w:hAnsi="Arial"/>
          <w:kern w:val="0"/>
          <w:sz w:val="20"/>
          <w:szCs w:val="20"/>
        </w:rPr>
        <w:t>Possible Solution</w:t>
      </w:r>
    </w:p>
    <w:p w14:paraId="55BF97A5" w14:textId="07E25F89" w:rsidR="001D2DFA" w:rsidRDefault="00D9413E" w:rsidP="00D9413E">
      <w:pPr>
        <w:widowControl/>
        <w:pBdr>
          <w:top w:val="single" w:sz="4" w:space="1" w:color="auto"/>
          <w:left w:val="single" w:sz="4" w:space="4" w:color="auto"/>
          <w:bottom w:val="single" w:sz="4" w:space="1" w:color="auto"/>
          <w:right w:val="single" w:sz="4" w:space="4" w:color="auto"/>
        </w:pBdr>
        <w:spacing w:after="120" w:line="240" w:lineRule="atLeast"/>
        <w:rPr>
          <w:rFonts w:ascii="Arial" w:eastAsia="Arial Unicode MS" w:hAnsi="Arial"/>
          <w:kern w:val="0"/>
          <w:sz w:val="20"/>
          <w:szCs w:val="20"/>
        </w:rPr>
      </w:pPr>
      <w:r w:rsidRPr="00D9413E">
        <w:rPr>
          <w:rFonts w:ascii="Arial" w:eastAsia="Arial Unicode MS" w:hAnsi="Arial"/>
          <w:kern w:val="0"/>
          <w:sz w:val="20"/>
          <w:szCs w:val="20"/>
        </w:rPr>
        <w:t>One possible solution is for the network to be able to configure separate resources and differentiate these based on GNSS capabilities.</w:t>
      </w:r>
    </w:p>
    <w:p w14:paraId="46B0E281" w14:textId="1B11F6C0" w:rsidR="00331DC9" w:rsidRDefault="005B5A05" w:rsidP="00331DC9">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 xml:space="preserve">During RAN2 #111-e meeting, </w:t>
      </w:r>
      <w:r w:rsidR="00606F65">
        <w:rPr>
          <w:rFonts w:ascii="Arial" w:eastAsia="Arial Unicode MS" w:hAnsi="Arial"/>
          <w:kern w:val="0"/>
          <w:sz w:val="20"/>
          <w:szCs w:val="20"/>
        </w:rPr>
        <w:t>an assumption from the WID was confirmed:</w:t>
      </w:r>
    </w:p>
    <w:tbl>
      <w:tblPr>
        <w:tblW w:w="98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1"/>
      </w:tblGrid>
      <w:tr w:rsidR="00331DC9" w:rsidRPr="004B39C3" w14:paraId="73E361FD" w14:textId="77777777" w:rsidTr="00E94764">
        <w:trPr>
          <w:trHeight w:val="279"/>
        </w:trPr>
        <w:tc>
          <w:tcPr>
            <w:tcW w:w="9801" w:type="dxa"/>
            <w:tcBorders>
              <w:top w:val="single" w:sz="4" w:space="0" w:color="auto"/>
              <w:left w:val="single" w:sz="4" w:space="0" w:color="auto"/>
              <w:bottom w:val="single" w:sz="4" w:space="0" w:color="auto"/>
              <w:right w:val="single" w:sz="4" w:space="0" w:color="auto"/>
            </w:tcBorders>
            <w:hideMark/>
          </w:tcPr>
          <w:p w14:paraId="565714CA" w14:textId="77777777" w:rsidR="00331DC9" w:rsidRPr="00E94764" w:rsidRDefault="005B5A05" w:rsidP="007E5B95">
            <w:pPr>
              <w:widowControl/>
              <w:spacing w:after="200" w:line="276" w:lineRule="auto"/>
              <w:jc w:val="left"/>
              <w:rPr>
                <w:rFonts w:ascii="Arial" w:eastAsia="Arial Unicode MS" w:hAnsi="Arial"/>
                <w:kern w:val="0"/>
                <w:sz w:val="20"/>
                <w:szCs w:val="20"/>
              </w:rPr>
            </w:pPr>
            <w:r w:rsidRPr="00E94764">
              <w:rPr>
                <w:rFonts w:ascii="Arial" w:eastAsia="Arial Unicode MS" w:hAnsi="Arial"/>
                <w:kern w:val="0"/>
                <w:sz w:val="20"/>
                <w:szCs w:val="20"/>
              </w:rPr>
              <w:t>In Rel-17, only UEs with GNSS capabilities are supported</w:t>
            </w:r>
          </w:p>
          <w:p w14:paraId="0AEE5299" w14:textId="5CB13F6B" w:rsidR="003F42DB" w:rsidRPr="00E94764" w:rsidRDefault="003F42DB" w:rsidP="003F42DB">
            <w:pPr>
              <w:pStyle w:val="Comments"/>
              <w:rPr>
                <w:rFonts w:eastAsia="Arial Unicode MS" w:cstheme="minorBidi"/>
                <w:i w:val="0"/>
                <w:noProof w:val="0"/>
                <w:kern w:val="0"/>
                <w:sz w:val="20"/>
                <w:szCs w:val="20"/>
                <w:lang w:val="en-GB"/>
              </w:rPr>
            </w:pPr>
            <w:r w:rsidRPr="00E94764">
              <w:rPr>
                <w:rFonts w:eastAsia="Arial Unicode MS" w:cstheme="minorBidi"/>
                <w:i w:val="0"/>
                <w:noProof w:val="0"/>
                <w:kern w:val="0"/>
                <w:sz w:val="20"/>
                <w:szCs w:val="20"/>
                <w:lang w:val="en-GB"/>
              </w:rPr>
              <w:t>Note: The support of UEs without GNSS capability are not precluded in subsequent releases.</w:t>
            </w:r>
          </w:p>
        </w:tc>
      </w:tr>
    </w:tbl>
    <w:p w14:paraId="366083AA" w14:textId="71E91209" w:rsidR="00EB0A90" w:rsidRDefault="00EB0A90" w:rsidP="00CF2F64">
      <w:pPr>
        <w:widowControl/>
        <w:rPr>
          <w:rFonts w:ascii="Arial" w:eastAsia="Arial Unicode MS" w:hAnsi="Arial"/>
          <w:kern w:val="0"/>
          <w:sz w:val="20"/>
          <w:szCs w:val="20"/>
        </w:rPr>
      </w:pPr>
      <w:r>
        <w:rPr>
          <w:rFonts w:ascii="Arial" w:eastAsia="Arial Unicode MS" w:hAnsi="Arial"/>
          <w:kern w:val="0"/>
          <w:sz w:val="20"/>
          <w:szCs w:val="20"/>
        </w:rPr>
        <w:t xml:space="preserve">Additionally, it was </w:t>
      </w:r>
      <w:r w:rsidR="004B39C3">
        <w:rPr>
          <w:rFonts w:ascii="Arial" w:eastAsia="Arial Unicode MS" w:hAnsi="Arial"/>
          <w:kern w:val="0"/>
          <w:sz w:val="20"/>
          <w:szCs w:val="20"/>
        </w:rPr>
        <w:t>agreed via</w:t>
      </w:r>
      <w:r>
        <w:rPr>
          <w:rFonts w:ascii="Arial" w:eastAsia="Arial Unicode MS" w:hAnsi="Arial"/>
          <w:kern w:val="0"/>
          <w:sz w:val="20"/>
          <w:szCs w:val="20"/>
        </w:rPr>
        <w:t xml:space="preserve"> email discussion [1]</w:t>
      </w:r>
      <w:r w:rsidR="004B39C3">
        <w:rPr>
          <w:rFonts w:ascii="Arial" w:eastAsia="Arial Unicode MS" w:hAnsi="Arial"/>
          <w:kern w:val="0"/>
          <w:sz w:val="20"/>
          <w:szCs w:val="20"/>
        </w:rPr>
        <w:t xml:space="preserve"> that preamble ambiguity would not be an issue if UE-specific RTD is compensated and</w:t>
      </w:r>
      <w:r>
        <w:rPr>
          <w:rFonts w:ascii="Arial" w:eastAsia="Arial Unicode MS" w:hAnsi="Arial"/>
          <w:kern w:val="0"/>
          <w:sz w:val="20"/>
          <w:szCs w:val="20"/>
        </w:rPr>
        <w:t>:</w:t>
      </w:r>
    </w:p>
    <w:p w14:paraId="210AF925" w14:textId="77777777" w:rsidR="00EB0A90" w:rsidRPr="00EB0A90" w:rsidRDefault="00EB0A90" w:rsidP="00E94764">
      <w:pPr>
        <w:widowControl/>
        <w:pBdr>
          <w:top w:val="single" w:sz="4" w:space="1" w:color="auto"/>
          <w:left w:val="single" w:sz="4" w:space="0" w:color="auto"/>
          <w:bottom w:val="single" w:sz="4" w:space="1" w:color="auto"/>
          <w:right w:val="single" w:sz="4" w:space="4" w:color="auto"/>
        </w:pBdr>
        <w:rPr>
          <w:rFonts w:ascii="Arial" w:eastAsia="Arial Unicode MS" w:hAnsi="Arial"/>
          <w:kern w:val="0"/>
          <w:sz w:val="20"/>
          <w:szCs w:val="20"/>
        </w:rPr>
      </w:pPr>
      <w:r w:rsidRPr="00EB0A90">
        <w:rPr>
          <w:rFonts w:ascii="Arial" w:eastAsia="Arial Unicode MS" w:hAnsi="Arial"/>
          <w:kern w:val="0"/>
          <w:sz w:val="20"/>
          <w:szCs w:val="20"/>
        </w:rPr>
        <w:t>Additionally, the following comments were noted:</w:t>
      </w:r>
    </w:p>
    <w:p w14:paraId="3D04C826" w14:textId="216D8511" w:rsidR="00EB0A90" w:rsidRPr="00EB0A90" w:rsidRDefault="00EB0A90" w:rsidP="00E94764">
      <w:pPr>
        <w:widowControl/>
        <w:pBdr>
          <w:top w:val="single" w:sz="4" w:space="1" w:color="auto"/>
          <w:left w:val="single" w:sz="4" w:space="0" w:color="auto"/>
          <w:bottom w:val="single" w:sz="4" w:space="1" w:color="auto"/>
          <w:right w:val="single" w:sz="4" w:space="4" w:color="auto"/>
        </w:pBdr>
        <w:rPr>
          <w:rFonts w:ascii="Arial" w:eastAsia="Arial Unicode MS" w:hAnsi="Arial"/>
          <w:kern w:val="0"/>
          <w:sz w:val="20"/>
          <w:szCs w:val="20"/>
        </w:rPr>
      </w:pPr>
      <w:r w:rsidRPr="00EB0A90">
        <w:rPr>
          <w:rFonts w:ascii="Arial" w:eastAsia="Arial Unicode MS" w:hAnsi="Arial"/>
          <w:kern w:val="0"/>
          <w:sz w:val="20"/>
          <w:szCs w:val="20"/>
        </w:rPr>
        <w:t>-</w:t>
      </w:r>
      <w:r w:rsidR="004B39C3">
        <w:rPr>
          <w:rFonts w:ascii="Arial" w:eastAsia="Arial Unicode MS" w:hAnsi="Arial"/>
          <w:kern w:val="0"/>
          <w:sz w:val="20"/>
          <w:szCs w:val="20"/>
        </w:rPr>
        <w:t xml:space="preserve"> </w:t>
      </w:r>
      <w:r w:rsidRPr="00EB0A90">
        <w:rPr>
          <w:rFonts w:ascii="Arial" w:eastAsia="Arial Unicode MS" w:hAnsi="Arial"/>
          <w:kern w:val="0"/>
          <w:sz w:val="20"/>
          <w:szCs w:val="20"/>
        </w:rPr>
        <w:t>With UE specific TA, all UEs target the same RA occasion. Inaccuracy can be handled by existing PRACH formats.</w:t>
      </w:r>
    </w:p>
    <w:p w14:paraId="7B7F2D1F" w14:textId="097A19DC" w:rsidR="00EB0A90" w:rsidRPr="00EB0A90" w:rsidRDefault="00EB0A90" w:rsidP="00E94764">
      <w:pPr>
        <w:widowControl/>
        <w:pBdr>
          <w:top w:val="single" w:sz="4" w:space="1" w:color="auto"/>
          <w:left w:val="single" w:sz="4" w:space="0" w:color="auto"/>
          <w:bottom w:val="single" w:sz="4" w:space="1" w:color="auto"/>
          <w:right w:val="single" w:sz="4" w:space="4" w:color="auto"/>
        </w:pBdr>
        <w:rPr>
          <w:rFonts w:ascii="Arial" w:eastAsia="Arial Unicode MS" w:hAnsi="Arial"/>
          <w:kern w:val="0"/>
          <w:sz w:val="20"/>
          <w:szCs w:val="20"/>
        </w:rPr>
      </w:pPr>
      <w:r w:rsidRPr="00EB0A90">
        <w:rPr>
          <w:rFonts w:ascii="Arial" w:eastAsia="Arial Unicode MS" w:hAnsi="Arial"/>
          <w:kern w:val="0"/>
          <w:sz w:val="20"/>
          <w:szCs w:val="20"/>
        </w:rPr>
        <w:t>-</w:t>
      </w:r>
      <w:r w:rsidR="004B39C3">
        <w:rPr>
          <w:rFonts w:ascii="Arial" w:eastAsia="Arial Unicode MS" w:hAnsi="Arial"/>
          <w:kern w:val="0"/>
          <w:sz w:val="20"/>
          <w:szCs w:val="20"/>
        </w:rPr>
        <w:t xml:space="preserve"> </w:t>
      </w:r>
      <w:r w:rsidRPr="00EB0A90">
        <w:rPr>
          <w:rFonts w:ascii="Arial" w:eastAsia="Arial Unicode MS" w:hAnsi="Arial"/>
          <w:kern w:val="0"/>
          <w:sz w:val="20"/>
          <w:szCs w:val="20"/>
        </w:rPr>
        <w:t>Can be solved by network implementation</w:t>
      </w:r>
    </w:p>
    <w:p w14:paraId="54B245DA" w14:textId="7E28A912" w:rsidR="00EB0A90" w:rsidRDefault="00EB0A90" w:rsidP="00E94764">
      <w:pPr>
        <w:widowControl/>
        <w:pBdr>
          <w:top w:val="single" w:sz="4" w:space="1" w:color="auto"/>
          <w:left w:val="single" w:sz="4" w:space="0" w:color="auto"/>
          <w:bottom w:val="single" w:sz="4" w:space="1" w:color="auto"/>
          <w:right w:val="single" w:sz="4" w:space="4" w:color="auto"/>
        </w:pBdr>
        <w:rPr>
          <w:rFonts w:ascii="Arial" w:eastAsia="Arial Unicode MS" w:hAnsi="Arial"/>
          <w:kern w:val="0"/>
          <w:sz w:val="20"/>
          <w:szCs w:val="20"/>
        </w:rPr>
      </w:pPr>
      <w:r w:rsidRPr="00EB0A90">
        <w:rPr>
          <w:rFonts w:ascii="Arial" w:eastAsia="Arial Unicode MS" w:hAnsi="Arial"/>
          <w:kern w:val="0"/>
          <w:sz w:val="20"/>
          <w:szCs w:val="20"/>
        </w:rPr>
        <w:t>-</w:t>
      </w:r>
      <w:r w:rsidR="004B39C3">
        <w:rPr>
          <w:rFonts w:ascii="Arial" w:eastAsia="Arial Unicode MS" w:hAnsi="Arial"/>
          <w:kern w:val="0"/>
          <w:sz w:val="20"/>
          <w:szCs w:val="20"/>
        </w:rPr>
        <w:t xml:space="preserve"> </w:t>
      </w:r>
      <w:r w:rsidRPr="00EB0A90">
        <w:rPr>
          <w:rFonts w:ascii="Arial" w:eastAsia="Arial Unicode MS" w:hAnsi="Arial"/>
          <w:kern w:val="0"/>
          <w:sz w:val="20"/>
          <w:szCs w:val="20"/>
        </w:rPr>
        <w:t>Should discuss case where UEs without pre-compensation</w:t>
      </w:r>
    </w:p>
    <w:p w14:paraId="2CD378E0" w14:textId="2ADD4AEA" w:rsidR="006C17E4" w:rsidRDefault="006C17E4" w:rsidP="00FB1500">
      <w:pPr>
        <w:widowControl/>
        <w:rPr>
          <w:rFonts w:ascii="Arial" w:eastAsia="Arial Unicode MS" w:hAnsi="Arial"/>
          <w:kern w:val="0"/>
          <w:sz w:val="20"/>
          <w:szCs w:val="20"/>
        </w:rPr>
      </w:pPr>
      <w:r>
        <w:rPr>
          <w:rFonts w:ascii="Arial" w:eastAsia="Arial Unicode MS" w:hAnsi="Arial"/>
          <w:kern w:val="0"/>
          <w:sz w:val="20"/>
          <w:szCs w:val="20"/>
        </w:rPr>
        <w:t>Furthermore, it was agreed in RAN2 #112-e:</w:t>
      </w:r>
    </w:p>
    <w:p w14:paraId="79B697E0" w14:textId="2FCB71E6" w:rsidR="006C17E4" w:rsidRDefault="006C17E4" w:rsidP="006C17E4">
      <w:pPr>
        <w:widowControl/>
        <w:pBdr>
          <w:top w:val="single" w:sz="4" w:space="1" w:color="auto"/>
          <w:left w:val="single" w:sz="4" w:space="1" w:color="auto"/>
          <w:bottom w:val="single" w:sz="4" w:space="1" w:color="auto"/>
          <w:right w:val="single" w:sz="4" w:space="4" w:color="auto"/>
        </w:pBdr>
        <w:rPr>
          <w:rFonts w:ascii="Arial" w:eastAsia="Arial Unicode MS" w:hAnsi="Arial"/>
          <w:kern w:val="0"/>
          <w:sz w:val="20"/>
          <w:szCs w:val="20"/>
        </w:rPr>
      </w:pPr>
      <w:r w:rsidRPr="006C17E4">
        <w:rPr>
          <w:rFonts w:ascii="Arial" w:eastAsia="Arial Unicode MS" w:hAnsi="Arial"/>
          <w:kern w:val="0"/>
          <w:sz w:val="20"/>
          <w:szCs w:val="20"/>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w:t>
      </w:r>
    </w:p>
    <w:p w14:paraId="532BAF9A" w14:textId="77777777" w:rsidR="006C17E4" w:rsidRDefault="006C17E4" w:rsidP="00FB1500">
      <w:pPr>
        <w:widowControl/>
        <w:rPr>
          <w:rFonts w:ascii="Arial" w:eastAsia="Arial Unicode MS" w:hAnsi="Arial"/>
          <w:kern w:val="0"/>
          <w:sz w:val="20"/>
          <w:szCs w:val="20"/>
        </w:rPr>
      </w:pPr>
    </w:p>
    <w:p w14:paraId="2790024E" w14:textId="627902FB" w:rsidR="00331DC9" w:rsidRDefault="00331DC9" w:rsidP="00FB1500">
      <w:pPr>
        <w:widowControl/>
        <w:rPr>
          <w:rFonts w:ascii="Arial" w:eastAsia="Arial Unicode MS" w:hAnsi="Arial"/>
          <w:kern w:val="0"/>
          <w:sz w:val="20"/>
          <w:szCs w:val="20"/>
        </w:rPr>
      </w:pPr>
      <w:r w:rsidRPr="00CF2F64">
        <w:rPr>
          <w:rFonts w:ascii="Arial" w:eastAsia="Arial Unicode MS" w:hAnsi="Arial"/>
          <w:kern w:val="0"/>
          <w:sz w:val="20"/>
          <w:szCs w:val="20"/>
        </w:rPr>
        <w:t xml:space="preserve">In this contribution, we </w:t>
      </w:r>
      <w:r w:rsidR="009956C2" w:rsidRPr="00E94764">
        <w:rPr>
          <w:rFonts w:ascii="Arial" w:eastAsia="Arial Unicode MS" w:hAnsi="Arial"/>
          <w:kern w:val="0"/>
          <w:sz w:val="20"/>
          <w:szCs w:val="20"/>
        </w:rPr>
        <w:t>d</w:t>
      </w:r>
      <w:r w:rsidR="00CF2F64" w:rsidRPr="00E94764">
        <w:rPr>
          <w:rFonts w:ascii="Arial" w:eastAsia="Arial Unicode MS" w:hAnsi="Arial"/>
          <w:kern w:val="0"/>
          <w:sz w:val="20"/>
          <w:szCs w:val="20"/>
        </w:rPr>
        <w:t xml:space="preserve">iscuss </w:t>
      </w:r>
      <w:r w:rsidR="003C07E8">
        <w:rPr>
          <w:rFonts w:ascii="Arial" w:eastAsia="Arial Unicode MS" w:hAnsi="Arial"/>
          <w:kern w:val="0"/>
          <w:sz w:val="20"/>
          <w:szCs w:val="20"/>
        </w:rPr>
        <w:t>UEs without accurate UE specific TA pre-compensation</w:t>
      </w:r>
      <w:r w:rsidR="00D9413E">
        <w:rPr>
          <w:rFonts w:ascii="Arial" w:eastAsia="Arial Unicode MS" w:hAnsi="Arial"/>
          <w:kern w:val="0"/>
          <w:sz w:val="20"/>
          <w:szCs w:val="20"/>
        </w:rPr>
        <w:t xml:space="preserve"> </w:t>
      </w:r>
      <w:r w:rsidR="00DA777C">
        <w:rPr>
          <w:rFonts w:ascii="Arial" w:eastAsia="Arial Unicode MS" w:hAnsi="Arial"/>
          <w:kern w:val="0"/>
          <w:sz w:val="20"/>
          <w:szCs w:val="20"/>
        </w:rPr>
        <w:t>and how to achieve resource separation.</w:t>
      </w:r>
    </w:p>
    <w:p w14:paraId="5AB53D0E" w14:textId="77777777" w:rsidR="00331DC9" w:rsidRDefault="00331DC9" w:rsidP="00331DC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Pr>
          <w:rFonts w:ascii="Arial" w:eastAsia="Arial Unicode MS" w:hAnsi="Arial"/>
          <w:kern w:val="0"/>
          <w:sz w:val="32"/>
          <w:szCs w:val="20"/>
          <w:lang w:eastAsia="en-US"/>
        </w:rPr>
        <w:t xml:space="preserve"> 2. </w:t>
      </w:r>
      <w:r>
        <w:rPr>
          <w:rFonts w:ascii="Arial" w:eastAsia="Arial Unicode MS" w:hAnsi="Arial"/>
          <w:kern w:val="0"/>
          <w:sz w:val="32"/>
          <w:szCs w:val="20"/>
        </w:rPr>
        <w:t>Discussion</w:t>
      </w:r>
    </w:p>
    <w:p w14:paraId="68C677CB" w14:textId="02C664CE" w:rsidR="00FF4650" w:rsidRDefault="00FF4650" w:rsidP="00A072F9">
      <w:pPr>
        <w:widowControl/>
        <w:spacing w:after="120" w:line="240" w:lineRule="atLeast"/>
        <w:rPr>
          <w:rFonts w:ascii="Times New Roman" w:eastAsia="Malgun Gothic" w:hAnsi="Times New Roman" w:cs="Times New Roman"/>
          <w:b/>
          <w:szCs w:val="24"/>
          <w:lang w:eastAsia="zh-CN"/>
        </w:rPr>
      </w:pPr>
      <w:r>
        <w:rPr>
          <w:rFonts w:ascii="Arial" w:eastAsia="Arial Unicode MS" w:hAnsi="Arial"/>
          <w:kern w:val="0"/>
          <w:sz w:val="20"/>
          <w:szCs w:val="20"/>
        </w:rPr>
        <w:t xml:space="preserve">In the WID, UEs are assumed to have </w:t>
      </w:r>
      <w:r w:rsidR="00027687">
        <w:rPr>
          <w:rFonts w:ascii="Arial" w:eastAsia="Arial Unicode MS" w:hAnsi="Arial"/>
          <w:kern w:val="0"/>
          <w:sz w:val="20"/>
          <w:szCs w:val="20"/>
        </w:rPr>
        <w:t xml:space="preserve">GNSS capabilities. However, in certain conditions, a UE may be able to be in Line of Sight with an NTN gNB above it but unable to detect signal from other satellites for </w:t>
      </w:r>
      <w:r w:rsidR="00CB3EC9">
        <w:rPr>
          <w:rFonts w:ascii="Arial" w:eastAsia="Arial Unicode MS" w:hAnsi="Arial"/>
          <w:kern w:val="0"/>
          <w:sz w:val="20"/>
          <w:szCs w:val="20"/>
        </w:rPr>
        <w:t>triangulation, for</w:t>
      </w:r>
      <w:r w:rsidR="00027687">
        <w:rPr>
          <w:rFonts w:ascii="Arial" w:eastAsia="Arial Unicode MS" w:hAnsi="Arial"/>
          <w:kern w:val="0"/>
          <w:sz w:val="20"/>
          <w:szCs w:val="20"/>
        </w:rPr>
        <w:t xml:space="preserve"> instance because of the canyon effect.</w:t>
      </w:r>
      <w:r w:rsidR="00027687" w:rsidRPr="00D47E81">
        <w:rPr>
          <w:rFonts w:ascii="Arial" w:eastAsia="Arial Unicode MS" w:hAnsi="Arial"/>
          <w:kern w:val="0"/>
          <w:sz w:val="20"/>
          <w:szCs w:val="20"/>
        </w:rPr>
        <w:t xml:space="preserve"> </w:t>
      </w:r>
      <w:r w:rsidR="00D47E81" w:rsidRPr="00D47E81">
        <w:rPr>
          <w:rFonts w:ascii="Arial" w:eastAsia="Arial Unicode MS" w:hAnsi="Arial"/>
          <w:kern w:val="0"/>
          <w:sz w:val="20"/>
          <w:szCs w:val="20"/>
        </w:rPr>
        <w:t xml:space="preserve">This would result in an inability </w:t>
      </w:r>
      <w:r w:rsidR="00D47E81">
        <w:rPr>
          <w:rFonts w:ascii="Arial" w:eastAsia="Arial Unicode MS" w:hAnsi="Arial"/>
          <w:kern w:val="0"/>
          <w:sz w:val="20"/>
          <w:szCs w:val="20"/>
        </w:rPr>
        <w:t xml:space="preserve">for a UE </w:t>
      </w:r>
      <w:r w:rsidR="00D47E81" w:rsidRPr="00D47E81">
        <w:rPr>
          <w:rFonts w:ascii="Arial" w:eastAsia="Arial Unicode MS" w:hAnsi="Arial"/>
          <w:kern w:val="0"/>
          <w:sz w:val="20"/>
          <w:szCs w:val="20"/>
        </w:rPr>
        <w:t>to get its</w:t>
      </w:r>
      <w:r w:rsidR="00D47E81">
        <w:rPr>
          <w:rFonts w:ascii="Arial" w:eastAsia="Arial Unicode MS" w:hAnsi="Arial"/>
          <w:kern w:val="0"/>
          <w:sz w:val="20"/>
          <w:szCs w:val="20"/>
        </w:rPr>
        <w:t xml:space="preserve"> positioning despite having GNSS capabilities. </w:t>
      </w:r>
      <w:r w:rsidR="00027687" w:rsidRPr="00027687">
        <w:rPr>
          <w:rFonts w:ascii="Arial" w:eastAsia="Arial Unicode MS" w:hAnsi="Arial"/>
          <w:kern w:val="0"/>
          <w:sz w:val="20"/>
          <w:szCs w:val="20"/>
        </w:rPr>
        <w:t xml:space="preserve">In </w:t>
      </w:r>
      <w:r w:rsidR="00027687">
        <w:rPr>
          <w:rFonts w:ascii="Arial" w:eastAsia="Arial Unicode MS" w:hAnsi="Arial"/>
          <w:kern w:val="0"/>
          <w:sz w:val="20"/>
          <w:szCs w:val="20"/>
        </w:rPr>
        <w:t>th</w:t>
      </w:r>
      <w:r w:rsidR="00D47E81">
        <w:rPr>
          <w:rFonts w:ascii="Arial" w:eastAsia="Arial Unicode MS" w:hAnsi="Arial"/>
          <w:kern w:val="0"/>
          <w:sz w:val="20"/>
          <w:szCs w:val="20"/>
        </w:rPr>
        <w:t>is</w:t>
      </w:r>
      <w:r w:rsidR="00027687">
        <w:rPr>
          <w:rFonts w:ascii="Arial" w:eastAsia="Arial Unicode MS" w:hAnsi="Arial"/>
          <w:kern w:val="0"/>
          <w:sz w:val="20"/>
          <w:szCs w:val="20"/>
        </w:rPr>
        <w:t xml:space="preserve"> situation, the UE may not be able to apply a sufficient UE-specific pre-compensation.</w:t>
      </w:r>
    </w:p>
    <w:p w14:paraId="0608F736" w14:textId="2F246C6D" w:rsidR="00A072F9" w:rsidRDefault="00A072F9" w:rsidP="00A072F9">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1: </w:t>
      </w:r>
      <w:r>
        <w:rPr>
          <w:rFonts w:ascii="Times New Roman" w:eastAsia="Malgun Gothic" w:hAnsi="Times New Roman" w:cs="Times New Roman"/>
          <w:b/>
          <w:szCs w:val="24"/>
          <w:lang w:eastAsia="zh-CN"/>
        </w:rPr>
        <w:t xml:space="preserve">UEs with GNSS capabilities may not have </w:t>
      </w:r>
      <w:r w:rsidR="00527CE7">
        <w:rPr>
          <w:rFonts w:ascii="Times New Roman" w:eastAsia="Malgun Gothic" w:hAnsi="Times New Roman" w:cs="Times New Roman"/>
          <w:b/>
          <w:szCs w:val="24"/>
          <w:lang w:eastAsia="zh-CN"/>
        </w:rPr>
        <w:t xml:space="preserve">accurate </w:t>
      </w:r>
      <w:r>
        <w:rPr>
          <w:rFonts w:ascii="Times New Roman" w:eastAsia="Malgun Gothic" w:hAnsi="Times New Roman" w:cs="Times New Roman"/>
          <w:b/>
          <w:szCs w:val="24"/>
          <w:lang w:eastAsia="zh-CN"/>
        </w:rPr>
        <w:t>positioning</w:t>
      </w:r>
      <w:r w:rsidR="00527CE7">
        <w:rPr>
          <w:rFonts w:ascii="Times New Roman" w:eastAsia="Malgun Gothic" w:hAnsi="Times New Roman" w:cs="Times New Roman"/>
          <w:b/>
          <w:szCs w:val="24"/>
          <w:lang w:eastAsia="zh-CN"/>
        </w:rPr>
        <w:t xml:space="preserve"> information</w:t>
      </w:r>
      <w:r w:rsidR="00D47E81">
        <w:rPr>
          <w:rFonts w:ascii="Times New Roman" w:eastAsia="Malgun Gothic" w:hAnsi="Times New Roman" w:cs="Times New Roman"/>
          <w:b/>
          <w:szCs w:val="24"/>
          <w:lang w:eastAsia="zh-CN"/>
        </w:rPr>
        <w:t>.</w:t>
      </w:r>
    </w:p>
    <w:p w14:paraId="3544CF1C" w14:textId="437546B9" w:rsidR="00043643" w:rsidRDefault="00AF3DF7" w:rsidP="00A072F9">
      <w:pPr>
        <w:widowControl/>
        <w:spacing w:after="120" w:line="240" w:lineRule="atLeast"/>
        <w:rPr>
          <w:rFonts w:ascii="Times New Roman" w:eastAsia="Malgun Gothic" w:hAnsi="Times New Roman" w:cs="Times New Roman"/>
          <w:b/>
          <w:szCs w:val="24"/>
          <w:lang w:eastAsia="zh-CN"/>
        </w:rPr>
      </w:pPr>
      <w:r>
        <w:rPr>
          <w:rFonts w:ascii="Arial" w:eastAsia="Arial Unicode MS" w:hAnsi="Arial"/>
          <w:kern w:val="0"/>
          <w:sz w:val="20"/>
          <w:szCs w:val="20"/>
        </w:rPr>
        <w:t>Future</w:t>
      </w:r>
      <w:r w:rsidR="00043643">
        <w:rPr>
          <w:rFonts w:ascii="Arial" w:eastAsia="Arial Unicode MS" w:hAnsi="Arial"/>
          <w:kern w:val="0"/>
          <w:sz w:val="20"/>
          <w:szCs w:val="20"/>
        </w:rPr>
        <w:t xml:space="preserve"> releases may consider UEs with less strict pre-compensation capabilities, e.g. NB-IoT for Release 18. Designing a system that can later accommodate such users, while focusing on UEs with GNSS capabilities for now, will prove beneficial in the long term.</w:t>
      </w:r>
    </w:p>
    <w:p w14:paraId="21007C94" w14:textId="3A5CE74B" w:rsidR="00A072F9" w:rsidRDefault="00A072F9" w:rsidP="00A072F9">
      <w:pPr>
        <w:widowControl/>
        <w:spacing w:after="120" w:line="240" w:lineRule="atLeast"/>
        <w:rPr>
          <w:rFonts w:ascii="Times New Roman" w:eastAsia="Malgun Gothic" w:hAnsi="Times New Roman" w:cs="Times New Roman"/>
          <w:b/>
          <w:szCs w:val="24"/>
          <w:lang w:eastAsia="zh-CN"/>
        </w:rPr>
      </w:pPr>
      <w:bookmarkStart w:id="0" w:name="_Hlk61386096"/>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2</w:t>
      </w:r>
      <w:r w:rsidRPr="00FC5EA1">
        <w:rPr>
          <w:rFonts w:ascii="Times New Roman" w:eastAsia="Malgun Gothic" w:hAnsi="Times New Roman" w:cs="Times New Roman"/>
          <w:b/>
          <w:szCs w:val="24"/>
          <w:lang w:eastAsia="zh-CN"/>
        </w:rPr>
        <w:t xml:space="preserve">: </w:t>
      </w:r>
      <w:bookmarkEnd w:id="0"/>
      <w:r>
        <w:rPr>
          <w:rFonts w:ascii="Times New Roman" w:eastAsia="Malgun Gothic" w:hAnsi="Times New Roman" w:cs="Times New Roman"/>
          <w:b/>
          <w:szCs w:val="24"/>
          <w:lang w:eastAsia="zh-CN"/>
        </w:rPr>
        <w:t xml:space="preserve">UEs without GNSS capabilities may be introduced in the future and </w:t>
      </w:r>
      <w:r w:rsidR="00247EBC">
        <w:rPr>
          <w:rFonts w:ascii="Times New Roman" w:eastAsia="Malgun Gothic" w:hAnsi="Times New Roman" w:cs="Times New Roman"/>
          <w:b/>
          <w:szCs w:val="24"/>
          <w:lang w:eastAsia="zh-CN"/>
        </w:rPr>
        <w:t xml:space="preserve">already </w:t>
      </w:r>
      <w:r>
        <w:rPr>
          <w:rFonts w:ascii="Times New Roman" w:eastAsia="Malgun Gothic" w:hAnsi="Times New Roman" w:cs="Times New Roman"/>
          <w:b/>
          <w:szCs w:val="24"/>
          <w:lang w:eastAsia="zh-CN"/>
        </w:rPr>
        <w:t xml:space="preserve">having </w:t>
      </w:r>
      <w:r w:rsidR="00247EBC">
        <w:rPr>
          <w:rFonts w:ascii="Times New Roman" w:eastAsia="Malgun Gothic" w:hAnsi="Times New Roman" w:cs="Times New Roman"/>
          <w:b/>
          <w:szCs w:val="24"/>
          <w:lang w:eastAsia="zh-CN"/>
        </w:rPr>
        <w:t xml:space="preserve">a mechanism to enable NR over NTN for UEs without </w:t>
      </w:r>
      <w:r w:rsidR="00527CE7">
        <w:rPr>
          <w:rFonts w:ascii="Times New Roman" w:eastAsia="Malgun Gothic" w:hAnsi="Times New Roman" w:cs="Times New Roman"/>
          <w:b/>
          <w:szCs w:val="24"/>
          <w:lang w:eastAsia="zh-CN"/>
        </w:rPr>
        <w:t xml:space="preserve">accurate </w:t>
      </w:r>
      <w:r w:rsidR="00247EBC">
        <w:rPr>
          <w:rFonts w:ascii="Times New Roman" w:eastAsia="Malgun Gothic" w:hAnsi="Times New Roman" w:cs="Times New Roman"/>
          <w:b/>
          <w:szCs w:val="24"/>
          <w:lang w:eastAsia="zh-CN"/>
        </w:rPr>
        <w:t>positioning information</w:t>
      </w:r>
      <w:r>
        <w:rPr>
          <w:rFonts w:ascii="Times New Roman" w:eastAsia="Malgun Gothic" w:hAnsi="Times New Roman" w:cs="Times New Roman"/>
          <w:b/>
          <w:szCs w:val="24"/>
          <w:lang w:eastAsia="zh-CN"/>
        </w:rPr>
        <w:t xml:space="preserve"> can be beneficial</w:t>
      </w:r>
      <w:r w:rsidR="00D47E81">
        <w:rPr>
          <w:rFonts w:ascii="Times New Roman" w:eastAsia="Malgun Gothic" w:hAnsi="Times New Roman" w:cs="Times New Roman"/>
          <w:b/>
          <w:szCs w:val="24"/>
          <w:lang w:eastAsia="zh-CN"/>
        </w:rPr>
        <w:t>.</w:t>
      </w:r>
    </w:p>
    <w:p w14:paraId="6459C26B" w14:textId="07E97EB2" w:rsidR="00CB3EC9" w:rsidRDefault="003955AE" w:rsidP="003275A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lastRenderedPageBreak/>
        <w:t>As pointed out during the TR, UEs with different TA pre-compensation capabilities will need d</w:t>
      </w:r>
      <w:r w:rsidR="009453C0">
        <w:rPr>
          <w:rFonts w:ascii="Arial" w:eastAsia="Arial Unicode MS" w:hAnsi="Arial"/>
          <w:kern w:val="0"/>
          <w:sz w:val="20"/>
          <w:szCs w:val="20"/>
        </w:rPr>
        <w:t xml:space="preserve">ifferent RACH resources. </w:t>
      </w:r>
      <w:r w:rsidR="00965A6D">
        <w:rPr>
          <w:rFonts w:ascii="Arial" w:eastAsia="Arial Unicode MS" w:hAnsi="Arial"/>
          <w:kern w:val="0"/>
          <w:sz w:val="20"/>
          <w:szCs w:val="20"/>
        </w:rPr>
        <w:t xml:space="preserve">Overall, the </w:t>
      </w:r>
      <w:r w:rsidR="009453C0">
        <w:rPr>
          <w:rFonts w:ascii="Arial" w:eastAsia="Arial Unicode MS" w:hAnsi="Arial"/>
          <w:kern w:val="0"/>
          <w:sz w:val="20"/>
          <w:szCs w:val="20"/>
        </w:rPr>
        <w:t xml:space="preserve">main </w:t>
      </w:r>
      <w:r w:rsidR="00965A6D">
        <w:rPr>
          <w:rFonts w:ascii="Arial" w:eastAsia="Arial Unicode MS" w:hAnsi="Arial"/>
          <w:kern w:val="0"/>
          <w:sz w:val="20"/>
          <w:szCs w:val="20"/>
        </w:rPr>
        <w:t xml:space="preserve">difference between UEs with different </w:t>
      </w:r>
      <w:r w:rsidR="009453C0">
        <w:rPr>
          <w:rFonts w:ascii="Arial" w:eastAsia="Arial Unicode MS" w:hAnsi="Arial"/>
          <w:kern w:val="0"/>
          <w:sz w:val="20"/>
          <w:szCs w:val="20"/>
        </w:rPr>
        <w:t>TA pre-compensation capabilities</w:t>
      </w:r>
      <w:r w:rsidR="00965A6D">
        <w:rPr>
          <w:rFonts w:ascii="Arial" w:eastAsia="Arial Unicode MS" w:hAnsi="Arial"/>
          <w:kern w:val="0"/>
          <w:sz w:val="20"/>
          <w:szCs w:val="20"/>
        </w:rPr>
        <w:t xml:space="preserve"> is that they have different UL TA misalignment with regard</w:t>
      </w:r>
      <w:r w:rsidR="007E5FA3">
        <w:rPr>
          <w:rFonts w:ascii="Arial" w:eastAsia="Arial Unicode MS" w:hAnsi="Arial"/>
          <w:kern w:val="0"/>
          <w:sz w:val="20"/>
          <w:szCs w:val="20"/>
        </w:rPr>
        <w:t>s</w:t>
      </w:r>
      <w:r w:rsidR="00965A6D">
        <w:rPr>
          <w:rFonts w:ascii="Arial" w:eastAsia="Arial Unicode MS" w:hAnsi="Arial"/>
          <w:kern w:val="0"/>
          <w:sz w:val="20"/>
          <w:szCs w:val="20"/>
        </w:rPr>
        <w:t xml:space="preserve"> to the gNB</w:t>
      </w:r>
      <w:r w:rsidR="009453C0">
        <w:rPr>
          <w:rFonts w:ascii="Arial" w:eastAsia="Arial Unicode MS" w:hAnsi="Arial"/>
          <w:kern w:val="0"/>
          <w:sz w:val="20"/>
          <w:szCs w:val="20"/>
        </w:rPr>
        <w:t xml:space="preserve">. </w:t>
      </w:r>
      <w:r w:rsidR="000E16E3">
        <w:rPr>
          <w:rFonts w:ascii="Arial" w:eastAsia="Arial Unicode MS" w:hAnsi="Arial"/>
          <w:kern w:val="0"/>
          <w:sz w:val="20"/>
          <w:szCs w:val="20"/>
        </w:rPr>
        <w:t>In NTN cells, it could be</w:t>
      </w:r>
      <w:r>
        <w:rPr>
          <w:rFonts w:ascii="Arial" w:eastAsia="Arial Unicode MS" w:hAnsi="Arial"/>
          <w:kern w:val="0"/>
          <w:sz w:val="20"/>
          <w:szCs w:val="20"/>
        </w:rPr>
        <w:t xml:space="preserve"> that the preamble </w:t>
      </w:r>
      <w:r w:rsidR="000E16E3">
        <w:rPr>
          <w:rFonts w:ascii="Arial" w:eastAsia="Arial Unicode MS" w:hAnsi="Arial"/>
          <w:kern w:val="0"/>
          <w:sz w:val="20"/>
          <w:szCs w:val="20"/>
        </w:rPr>
        <w:t xml:space="preserve">sent by some UEs would </w:t>
      </w:r>
      <w:r>
        <w:rPr>
          <w:rFonts w:ascii="Arial" w:eastAsia="Arial Unicode MS" w:hAnsi="Arial"/>
          <w:kern w:val="0"/>
          <w:sz w:val="20"/>
          <w:szCs w:val="20"/>
        </w:rPr>
        <w:t>be received outside of the preamble receive window,</w:t>
      </w:r>
      <w:r w:rsidR="000E16E3">
        <w:rPr>
          <w:rFonts w:ascii="Arial" w:eastAsia="Arial Unicode MS" w:hAnsi="Arial"/>
          <w:kern w:val="0"/>
          <w:sz w:val="20"/>
          <w:szCs w:val="20"/>
        </w:rPr>
        <w:t xml:space="preserve"> even with the longest legacy preamble format, which would</w:t>
      </w:r>
      <w:r>
        <w:rPr>
          <w:rFonts w:ascii="Arial" w:eastAsia="Arial Unicode MS" w:hAnsi="Arial"/>
          <w:kern w:val="0"/>
          <w:sz w:val="20"/>
          <w:szCs w:val="20"/>
        </w:rPr>
        <w:t xml:space="preserve"> caus</w:t>
      </w:r>
      <w:r w:rsidR="000E16E3">
        <w:rPr>
          <w:rFonts w:ascii="Arial" w:eastAsia="Arial Unicode MS" w:hAnsi="Arial"/>
          <w:kern w:val="0"/>
          <w:sz w:val="20"/>
          <w:szCs w:val="20"/>
        </w:rPr>
        <w:t>e</w:t>
      </w:r>
      <w:r>
        <w:rPr>
          <w:rFonts w:ascii="Arial" w:eastAsia="Arial Unicode MS" w:hAnsi="Arial"/>
          <w:kern w:val="0"/>
          <w:sz w:val="20"/>
          <w:szCs w:val="20"/>
        </w:rPr>
        <w:t xml:space="preserve"> preamble ambiguity.</w:t>
      </w:r>
      <w:r w:rsidR="000E16E3">
        <w:rPr>
          <w:rFonts w:ascii="Arial" w:eastAsia="Arial Unicode MS" w:hAnsi="Arial"/>
          <w:kern w:val="0"/>
          <w:sz w:val="20"/>
          <w:szCs w:val="20"/>
        </w:rPr>
        <w:t xml:space="preserve"> If that is </w:t>
      </w:r>
      <w:r w:rsidR="000177DC">
        <w:rPr>
          <w:rFonts w:ascii="Arial" w:eastAsia="Arial Unicode MS" w:hAnsi="Arial"/>
          <w:kern w:val="0"/>
          <w:sz w:val="20"/>
          <w:szCs w:val="20"/>
        </w:rPr>
        <w:t xml:space="preserve">determined to be </w:t>
      </w:r>
      <w:r w:rsidR="000E16E3">
        <w:rPr>
          <w:rFonts w:ascii="Arial" w:eastAsia="Arial Unicode MS" w:hAnsi="Arial"/>
          <w:kern w:val="0"/>
          <w:sz w:val="20"/>
          <w:szCs w:val="20"/>
        </w:rPr>
        <w:t>the case, RAN1 would introduce a new (presumably longer) preamble format to be able to serve these UEs.</w:t>
      </w:r>
    </w:p>
    <w:p w14:paraId="32EB7519" w14:textId="696A76B9" w:rsidR="00BA5614" w:rsidRPr="00873BD7" w:rsidRDefault="00C56D8B" w:rsidP="003275AC">
      <w:pPr>
        <w:widowControl/>
        <w:spacing w:after="120" w:line="240" w:lineRule="atLeast"/>
        <w:rPr>
          <w:rFonts w:ascii="Arial" w:eastAsia="Arial Unicode MS" w:hAnsi="Arial"/>
          <w:kern w:val="0"/>
          <w:sz w:val="20"/>
          <w:szCs w:val="20"/>
        </w:rPr>
      </w:pPr>
      <w:proofErr w:type="gramStart"/>
      <w:r>
        <w:rPr>
          <w:rFonts w:ascii="Arial" w:eastAsia="Arial Unicode MS" w:hAnsi="Arial"/>
          <w:kern w:val="0"/>
          <w:sz w:val="20"/>
          <w:szCs w:val="20"/>
        </w:rPr>
        <w:t>Preamble</w:t>
      </w:r>
      <w:proofErr w:type="gramEnd"/>
      <w:r>
        <w:rPr>
          <w:rFonts w:ascii="Arial" w:eastAsia="Arial Unicode MS" w:hAnsi="Arial"/>
          <w:kern w:val="0"/>
          <w:sz w:val="20"/>
          <w:szCs w:val="20"/>
        </w:rPr>
        <w:t xml:space="preserve"> receive windows are </w:t>
      </w:r>
      <w:r w:rsidR="009A15E3">
        <w:rPr>
          <w:rFonts w:ascii="Arial" w:eastAsia="Arial Unicode MS" w:hAnsi="Arial"/>
          <w:kern w:val="0"/>
          <w:sz w:val="20"/>
          <w:szCs w:val="20"/>
        </w:rPr>
        <w:t>determined by the preamble format with Cyclic Prefix and Guard Time. In legacy TN cells, this is used to determine cell radius. For NTN cells</w:t>
      </w:r>
      <w:r w:rsidR="0077427D">
        <w:rPr>
          <w:rFonts w:ascii="Arial" w:eastAsia="Arial Unicode MS" w:hAnsi="Arial"/>
          <w:kern w:val="0"/>
          <w:sz w:val="20"/>
          <w:szCs w:val="20"/>
        </w:rPr>
        <w:t xml:space="preserve"> with very large cells</w:t>
      </w:r>
      <w:r>
        <w:rPr>
          <w:rFonts w:ascii="Arial" w:eastAsia="Arial Unicode MS" w:hAnsi="Arial"/>
          <w:kern w:val="0"/>
          <w:sz w:val="20"/>
          <w:szCs w:val="20"/>
        </w:rPr>
        <w:t>, UEs with accurate TA pre-compen</w:t>
      </w:r>
      <w:r w:rsidR="009A15E3">
        <w:rPr>
          <w:rFonts w:ascii="Arial" w:eastAsia="Arial Unicode MS" w:hAnsi="Arial"/>
          <w:kern w:val="0"/>
          <w:sz w:val="20"/>
          <w:szCs w:val="20"/>
        </w:rPr>
        <w:t>s</w:t>
      </w:r>
      <w:r>
        <w:rPr>
          <w:rFonts w:ascii="Arial" w:eastAsia="Arial Unicode MS" w:hAnsi="Arial"/>
          <w:kern w:val="0"/>
          <w:sz w:val="20"/>
          <w:szCs w:val="20"/>
        </w:rPr>
        <w:t>ation (typically with GNSS capabilities) can use shorter preamble formats</w:t>
      </w:r>
      <w:r w:rsidR="009A15E3">
        <w:rPr>
          <w:rFonts w:ascii="Arial" w:eastAsia="Arial Unicode MS" w:hAnsi="Arial"/>
          <w:kern w:val="0"/>
          <w:sz w:val="20"/>
          <w:szCs w:val="20"/>
        </w:rPr>
        <w:t xml:space="preserve"> (e.g. Preamble format 1) while UEs</w:t>
      </w:r>
      <w:r w:rsidR="0077427D">
        <w:rPr>
          <w:rFonts w:ascii="Arial" w:eastAsia="Arial Unicode MS" w:hAnsi="Arial"/>
          <w:kern w:val="0"/>
          <w:sz w:val="20"/>
          <w:szCs w:val="20"/>
        </w:rPr>
        <w:t xml:space="preserve"> with little or no UE specific TA pre-compensation capabilities will need to use another </w:t>
      </w:r>
      <w:r w:rsidR="00BA5614">
        <w:rPr>
          <w:rFonts w:ascii="Arial" w:eastAsia="Arial Unicode MS" w:hAnsi="Arial"/>
          <w:kern w:val="0"/>
          <w:sz w:val="20"/>
          <w:szCs w:val="20"/>
        </w:rPr>
        <w:t xml:space="preserve">(longer) </w:t>
      </w:r>
      <w:r w:rsidR="0077427D">
        <w:rPr>
          <w:rFonts w:ascii="Arial" w:eastAsia="Arial Unicode MS" w:hAnsi="Arial"/>
          <w:kern w:val="0"/>
          <w:sz w:val="20"/>
          <w:szCs w:val="20"/>
        </w:rPr>
        <w:t>preamble format</w:t>
      </w:r>
      <w:r w:rsidR="00BA5614">
        <w:rPr>
          <w:rFonts w:ascii="Arial" w:eastAsia="Arial Unicode MS" w:hAnsi="Arial"/>
          <w:kern w:val="0"/>
          <w:sz w:val="20"/>
          <w:szCs w:val="20"/>
        </w:rPr>
        <w:t>.</w:t>
      </w:r>
    </w:p>
    <w:p w14:paraId="7BE47905" w14:textId="197E65EC" w:rsidR="000177DC" w:rsidRDefault="002E7D4C" w:rsidP="003275A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3</w:t>
      </w:r>
      <w:r w:rsidRPr="00FC5EA1">
        <w:rPr>
          <w:rFonts w:ascii="Times New Roman" w:eastAsia="Malgun Gothic" w:hAnsi="Times New Roman" w:cs="Times New Roman"/>
          <w:b/>
          <w:szCs w:val="24"/>
          <w:lang w:eastAsia="zh-CN"/>
        </w:rPr>
        <w:t>:</w:t>
      </w:r>
      <w:r>
        <w:rPr>
          <w:rFonts w:ascii="Times New Roman" w:eastAsia="Malgun Gothic" w:hAnsi="Times New Roman" w:cs="Times New Roman"/>
          <w:b/>
          <w:szCs w:val="24"/>
          <w:lang w:eastAsia="zh-CN"/>
        </w:rPr>
        <w:t xml:space="preserve"> </w:t>
      </w:r>
      <w:r w:rsidR="000177DC" w:rsidRPr="000177DC">
        <w:rPr>
          <w:rFonts w:ascii="Times New Roman" w:eastAsia="Malgun Gothic" w:hAnsi="Times New Roman" w:cs="Times New Roman"/>
          <w:b/>
          <w:szCs w:val="24"/>
          <w:lang w:eastAsia="zh-CN"/>
        </w:rPr>
        <w:t xml:space="preserve">UEs with TA pre-compensation capability and UEs without TA pre-compensation capability </w:t>
      </w:r>
      <w:r w:rsidR="000177DC">
        <w:rPr>
          <w:rFonts w:ascii="Times New Roman" w:eastAsia="Malgun Gothic" w:hAnsi="Times New Roman" w:cs="Times New Roman"/>
          <w:b/>
          <w:szCs w:val="24"/>
          <w:lang w:eastAsia="zh-CN"/>
        </w:rPr>
        <w:t>have</w:t>
      </w:r>
      <w:r w:rsidR="000177DC" w:rsidRPr="000177DC">
        <w:rPr>
          <w:rFonts w:ascii="Times New Roman" w:eastAsia="Malgun Gothic" w:hAnsi="Times New Roman" w:cs="Times New Roman"/>
          <w:b/>
          <w:szCs w:val="24"/>
          <w:lang w:eastAsia="zh-CN"/>
        </w:rPr>
        <w:t xml:space="preserve"> different preamble format</w:t>
      </w:r>
      <w:r w:rsidR="000177DC">
        <w:rPr>
          <w:rFonts w:ascii="Times New Roman" w:eastAsia="Malgun Gothic" w:hAnsi="Times New Roman" w:cs="Times New Roman"/>
          <w:b/>
          <w:szCs w:val="24"/>
          <w:lang w:eastAsia="zh-CN"/>
        </w:rPr>
        <w:t xml:space="preserve"> requirements</w:t>
      </w:r>
      <w:r w:rsidR="00D84079">
        <w:rPr>
          <w:rFonts w:ascii="Times New Roman" w:eastAsia="Malgun Gothic" w:hAnsi="Times New Roman" w:cs="Times New Roman"/>
          <w:b/>
          <w:szCs w:val="24"/>
          <w:lang w:eastAsia="zh-CN"/>
        </w:rPr>
        <w:t>.</w:t>
      </w:r>
    </w:p>
    <w:p w14:paraId="53C8571A" w14:textId="7EFB28E8" w:rsidR="00CB3EC9" w:rsidRDefault="00330641" w:rsidP="003275A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However, legacy NR can use RACH resource partitioning but PRACH configurations only allow one preamble format</w:t>
      </w:r>
      <w:r w:rsidR="0061234C">
        <w:rPr>
          <w:rFonts w:ascii="Arial" w:eastAsia="Arial Unicode MS" w:hAnsi="Arial"/>
          <w:kern w:val="0"/>
          <w:sz w:val="20"/>
          <w:szCs w:val="20"/>
        </w:rPr>
        <w:t>, as described in TS 38.331 and TS 38.321</w:t>
      </w:r>
      <w:r>
        <w:rPr>
          <w:rFonts w:ascii="Arial" w:eastAsia="Arial Unicode MS" w:hAnsi="Arial"/>
          <w:kern w:val="0"/>
          <w:sz w:val="20"/>
          <w:szCs w:val="20"/>
        </w:rPr>
        <w:t>.</w:t>
      </w:r>
      <w:r w:rsidR="00F95BF5">
        <w:rPr>
          <w:rFonts w:ascii="Arial" w:eastAsia="Arial Unicode MS" w:hAnsi="Arial"/>
          <w:kern w:val="0"/>
          <w:sz w:val="20"/>
          <w:szCs w:val="20"/>
        </w:rPr>
        <w:t xml:space="preserve"> </w:t>
      </w:r>
      <w:r w:rsidR="0061234C">
        <w:rPr>
          <w:rFonts w:ascii="Arial" w:eastAsia="Arial Unicode MS" w:hAnsi="Arial"/>
          <w:kern w:val="0"/>
          <w:sz w:val="20"/>
          <w:szCs w:val="20"/>
        </w:rPr>
        <w:t xml:space="preserve">Thus, </w:t>
      </w:r>
      <w:r w:rsidR="00F95BF5">
        <w:rPr>
          <w:rFonts w:ascii="Arial" w:eastAsia="Arial Unicode MS" w:hAnsi="Arial"/>
          <w:kern w:val="0"/>
          <w:sz w:val="20"/>
          <w:szCs w:val="20"/>
        </w:rPr>
        <w:t xml:space="preserve">the gNB </w:t>
      </w:r>
      <w:r w:rsidR="0061234C">
        <w:rPr>
          <w:rFonts w:ascii="Arial" w:eastAsia="Arial Unicode MS" w:hAnsi="Arial"/>
          <w:kern w:val="0"/>
          <w:sz w:val="20"/>
          <w:szCs w:val="20"/>
        </w:rPr>
        <w:t>needs to</w:t>
      </w:r>
      <w:r w:rsidR="00F95BF5">
        <w:rPr>
          <w:rFonts w:ascii="Arial" w:eastAsia="Arial Unicode MS" w:hAnsi="Arial"/>
          <w:kern w:val="0"/>
          <w:sz w:val="20"/>
          <w:szCs w:val="20"/>
        </w:rPr>
        <w:t xml:space="preserve"> allocate RA resources with the longest preamble format so that all UEs can have access to RA resources.</w:t>
      </w:r>
    </w:p>
    <w:p w14:paraId="013956D1" w14:textId="4059E96D" w:rsidR="00EE0060" w:rsidRDefault="00EE0060" w:rsidP="003275AC">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4</w:t>
      </w:r>
      <w:r w:rsidRPr="00FC5EA1">
        <w:rPr>
          <w:rFonts w:ascii="Times New Roman" w:eastAsia="Malgun Gothic" w:hAnsi="Times New Roman" w:cs="Times New Roman"/>
          <w:b/>
          <w:szCs w:val="24"/>
          <w:lang w:eastAsia="zh-CN"/>
        </w:rPr>
        <w:t>:</w:t>
      </w:r>
      <w:r>
        <w:rPr>
          <w:rFonts w:ascii="Times New Roman" w:eastAsia="Malgun Gothic" w:hAnsi="Times New Roman" w:cs="Times New Roman"/>
          <w:b/>
          <w:szCs w:val="24"/>
          <w:lang w:eastAsia="zh-CN"/>
        </w:rPr>
        <w:t xml:space="preserve"> Legacy NR does not allow multiple preamble formats</w:t>
      </w:r>
      <w:r w:rsidR="000177DC">
        <w:rPr>
          <w:rFonts w:ascii="Times New Roman" w:eastAsia="Malgun Gothic" w:hAnsi="Times New Roman" w:cs="Times New Roman"/>
          <w:b/>
          <w:szCs w:val="24"/>
          <w:lang w:eastAsia="zh-CN"/>
        </w:rPr>
        <w:t xml:space="preserve"> in a cell</w:t>
      </w:r>
      <w:r w:rsidR="00D84079">
        <w:rPr>
          <w:rFonts w:ascii="Times New Roman" w:eastAsia="Malgun Gothic" w:hAnsi="Times New Roman" w:cs="Times New Roman"/>
          <w:b/>
          <w:szCs w:val="24"/>
          <w:lang w:eastAsia="zh-CN"/>
        </w:rPr>
        <w:t>.</w:t>
      </w:r>
    </w:p>
    <w:p w14:paraId="0DE49ED0" w14:textId="6D8F0DEB" w:rsidR="007A7D48" w:rsidRPr="00873BD7" w:rsidRDefault="0061234C" w:rsidP="003275AC">
      <w:pPr>
        <w:widowControl/>
        <w:spacing w:after="120" w:line="240" w:lineRule="atLeast"/>
        <w:rPr>
          <w:rFonts w:ascii="Arial" w:eastAsia="Arial Unicode MS" w:hAnsi="Arial"/>
          <w:kern w:val="0"/>
          <w:sz w:val="20"/>
          <w:szCs w:val="20"/>
        </w:rPr>
      </w:pPr>
      <w:r w:rsidRPr="00873BD7">
        <w:rPr>
          <w:rFonts w:ascii="Arial" w:eastAsia="Arial Unicode MS" w:hAnsi="Arial"/>
          <w:kern w:val="0"/>
          <w:sz w:val="20"/>
          <w:szCs w:val="20"/>
        </w:rPr>
        <w:t>This</w:t>
      </w:r>
      <w:r>
        <w:rPr>
          <w:rFonts w:ascii="Arial" w:eastAsia="Arial Unicode MS" w:hAnsi="Arial"/>
          <w:kern w:val="0"/>
          <w:sz w:val="20"/>
          <w:szCs w:val="20"/>
        </w:rPr>
        <w:t xml:space="preserve"> means that UEs with accurate TA pre-compensation capabilities such as </w:t>
      </w:r>
      <w:r w:rsidR="00BE7E4F">
        <w:rPr>
          <w:rFonts w:ascii="Arial" w:eastAsia="Arial Unicode MS" w:hAnsi="Arial"/>
          <w:kern w:val="0"/>
          <w:sz w:val="20"/>
          <w:szCs w:val="20"/>
        </w:rPr>
        <w:t xml:space="preserve">UEs with accurate GNSS positioning would need to use longer less efficient RA resources </w:t>
      </w:r>
      <w:r w:rsidR="00366AE7">
        <w:rPr>
          <w:rFonts w:ascii="Arial" w:eastAsia="Arial Unicode MS" w:hAnsi="Arial"/>
          <w:kern w:val="0"/>
          <w:sz w:val="20"/>
          <w:szCs w:val="20"/>
        </w:rPr>
        <w:t>so that</w:t>
      </w:r>
      <w:r w:rsidR="00BE7E4F">
        <w:rPr>
          <w:rFonts w:ascii="Arial" w:eastAsia="Arial Unicode MS" w:hAnsi="Arial"/>
          <w:kern w:val="0"/>
          <w:sz w:val="20"/>
          <w:szCs w:val="20"/>
        </w:rPr>
        <w:t xml:space="preserve"> UEs without accurate TA pre-compensation </w:t>
      </w:r>
      <w:r w:rsidR="00366AE7">
        <w:rPr>
          <w:rFonts w:ascii="Arial" w:eastAsia="Arial Unicode MS" w:hAnsi="Arial"/>
          <w:kern w:val="0"/>
          <w:sz w:val="20"/>
          <w:szCs w:val="20"/>
        </w:rPr>
        <w:t>will be</w:t>
      </w:r>
      <w:r w:rsidR="00BE7E4F">
        <w:rPr>
          <w:rFonts w:ascii="Arial" w:eastAsia="Arial Unicode MS" w:hAnsi="Arial"/>
          <w:kern w:val="0"/>
          <w:sz w:val="20"/>
          <w:szCs w:val="20"/>
        </w:rPr>
        <w:t xml:space="preserve"> able to access the cell. </w:t>
      </w:r>
      <w:r w:rsidR="00366AE7">
        <w:rPr>
          <w:rFonts w:ascii="Arial" w:eastAsia="Arial Unicode MS" w:hAnsi="Arial"/>
          <w:kern w:val="0"/>
          <w:sz w:val="20"/>
          <w:szCs w:val="20"/>
        </w:rPr>
        <w:t xml:space="preserve">This represents an inefficient use of precious RA resources, which </w:t>
      </w:r>
      <w:r w:rsidR="002C646D">
        <w:rPr>
          <w:rFonts w:ascii="Arial" w:eastAsia="Arial Unicode MS" w:hAnsi="Arial"/>
          <w:kern w:val="0"/>
          <w:sz w:val="20"/>
          <w:szCs w:val="20"/>
        </w:rPr>
        <w:t xml:space="preserve">will have a strong impact on </w:t>
      </w:r>
      <w:r w:rsidR="00366AE7">
        <w:rPr>
          <w:rFonts w:ascii="Arial" w:eastAsia="Arial Unicode MS" w:hAnsi="Arial"/>
          <w:kern w:val="0"/>
          <w:sz w:val="20"/>
          <w:szCs w:val="20"/>
        </w:rPr>
        <w:t xml:space="preserve">load capacity (as shown in supported UE density </w:t>
      </w:r>
      <w:r w:rsidR="002C646D">
        <w:rPr>
          <w:rFonts w:ascii="Arial" w:eastAsia="Arial Unicode MS" w:hAnsi="Arial"/>
          <w:kern w:val="0"/>
          <w:sz w:val="20"/>
          <w:szCs w:val="20"/>
        </w:rPr>
        <w:t>in the TR</w:t>
      </w:r>
      <w:r w:rsidR="00366AE7">
        <w:rPr>
          <w:rFonts w:ascii="Arial" w:eastAsia="Arial Unicode MS" w:hAnsi="Arial"/>
          <w:kern w:val="0"/>
          <w:sz w:val="20"/>
          <w:szCs w:val="20"/>
        </w:rPr>
        <w:t>)</w:t>
      </w:r>
      <w:r w:rsidR="002C646D">
        <w:rPr>
          <w:rFonts w:ascii="Arial" w:eastAsia="Arial Unicode MS" w:hAnsi="Arial"/>
          <w:kern w:val="0"/>
          <w:sz w:val="20"/>
          <w:szCs w:val="20"/>
        </w:rPr>
        <w:t xml:space="preserve"> and may ultimately </w:t>
      </w:r>
      <w:r w:rsidR="00366AE7">
        <w:rPr>
          <w:rFonts w:ascii="Arial" w:eastAsia="Arial Unicode MS" w:hAnsi="Arial"/>
          <w:kern w:val="0"/>
          <w:sz w:val="20"/>
          <w:szCs w:val="20"/>
        </w:rPr>
        <w:t>lead to congestion.</w:t>
      </w:r>
      <w:r w:rsidR="002C646D">
        <w:rPr>
          <w:rFonts w:ascii="Arial" w:eastAsia="Arial Unicode MS" w:hAnsi="Arial"/>
          <w:kern w:val="0"/>
          <w:sz w:val="20"/>
          <w:szCs w:val="20"/>
        </w:rPr>
        <w:t xml:space="preserve"> Therefore, we propose to allow RACH resources with different preamble formats to </w:t>
      </w:r>
      <w:r w:rsidR="00D84079">
        <w:rPr>
          <w:rFonts w:ascii="Arial" w:eastAsia="Arial Unicode MS" w:hAnsi="Arial"/>
          <w:kern w:val="0"/>
          <w:sz w:val="20"/>
          <w:szCs w:val="20"/>
        </w:rPr>
        <w:t>serve</w:t>
      </w:r>
      <w:r w:rsidR="002C646D">
        <w:rPr>
          <w:rFonts w:ascii="Arial" w:eastAsia="Arial Unicode MS" w:hAnsi="Arial"/>
          <w:kern w:val="0"/>
          <w:sz w:val="20"/>
          <w:szCs w:val="20"/>
        </w:rPr>
        <w:t xml:space="preserve"> these different UEs while saving resources</w:t>
      </w:r>
      <w:r w:rsidR="00D84079">
        <w:rPr>
          <w:rFonts w:ascii="Arial" w:eastAsia="Arial Unicode MS" w:hAnsi="Arial"/>
          <w:kern w:val="0"/>
          <w:sz w:val="20"/>
          <w:szCs w:val="20"/>
        </w:rPr>
        <w:t xml:space="preserve"> and ensuring sufficient supported UE density in large NTN cells</w:t>
      </w:r>
      <w:r w:rsidR="002C646D">
        <w:rPr>
          <w:rFonts w:ascii="Arial" w:eastAsia="Arial Unicode MS" w:hAnsi="Arial"/>
          <w:kern w:val="0"/>
          <w:sz w:val="20"/>
          <w:szCs w:val="20"/>
        </w:rPr>
        <w:t>.</w:t>
      </w:r>
    </w:p>
    <w:p w14:paraId="01A5EE36" w14:textId="6A632E6E" w:rsidR="007E5FA3" w:rsidRDefault="007A7D48" w:rsidP="007E5FA3">
      <w:pPr>
        <w:widowControl/>
        <w:spacing w:after="120" w:line="240" w:lineRule="atLeast"/>
        <w:rPr>
          <w:rFonts w:ascii="Times New Roman" w:eastAsia="Malgun Gothic" w:hAnsi="Times New Roman" w:cs="Times New Roman"/>
          <w:b/>
          <w:szCs w:val="24"/>
          <w:lang w:eastAsia="zh-CN"/>
        </w:rPr>
      </w:pPr>
      <w:proofErr w:type="gramStart"/>
      <w:r w:rsidRPr="007A7D48">
        <w:rPr>
          <w:rFonts w:ascii="Times New Roman" w:eastAsia="Malgun Gothic" w:hAnsi="Times New Roman" w:cs="Times New Roman"/>
          <w:b/>
          <w:szCs w:val="24"/>
          <w:lang w:eastAsia="zh-CN"/>
        </w:rPr>
        <w:t>Proposal :</w:t>
      </w:r>
      <w:proofErr w:type="gramEnd"/>
      <w:r w:rsidRPr="007A7D48">
        <w:rPr>
          <w:rFonts w:ascii="Times New Roman" w:eastAsia="Malgun Gothic" w:hAnsi="Times New Roman" w:cs="Times New Roman"/>
          <w:b/>
          <w:szCs w:val="24"/>
          <w:lang w:eastAsia="zh-CN"/>
        </w:rPr>
        <w:t xml:space="preserve"> RAN2 to introduce two preamble formats in a cell for RACH resource partitioning between UEs with pre-compensation capability and UEs without pre-compensation capability. </w:t>
      </w:r>
    </w:p>
    <w:p w14:paraId="70319272" w14:textId="77777777" w:rsidR="00331DC9" w:rsidRDefault="00331DC9" w:rsidP="00331DC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38CC0B03" w14:textId="77333D8E" w:rsidR="00331DC9" w:rsidRDefault="00331DC9" w:rsidP="00331DC9">
      <w:pPr>
        <w:widowControl/>
        <w:spacing w:line="240" w:lineRule="atLeast"/>
        <w:rPr>
          <w:rFonts w:ascii="Arial" w:eastAsia="Arial Unicode MS" w:hAnsi="Arial"/>
          <w:kern w:val="0"/>
          <w:sz w:val="20"/>
          <w:szCs w:val="20"/>
        </w:rPr>
      </w:pPr>
      <w:r>
        <w:rPr>
          <w:rFonts w:ascii="Arial" w:eastAsia="Arial Unicode MS" w:hAnsi="Arial"/>
          <w:kern w:val="0"/>
          <w:sz w:val="20"/>
          <w:szCs w:val="20"/>
        </w:rPr>
        <w:t>In this contribution, we observed and proposed the following:</w:t>
      </w:r>
    </w:p>
    <w:p w14:paraId="7902C2DB" w14:textId="77777777" w:rsidR="00EE0060" w:rsidRDefault="00EE0060" w:rsidP="00EE0060">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1: </w:t>
      </w:r>
      <w:r>
        <w:rPr>
          <w:rFonts w:ascii="Times New Roman" w:eastAsia="Malgun Gothic" w:hAnsi="Times New Roman" w:cs="Times New Roman"/>
          <w:b/>
          <w:szCs w:val="24"/>
          <w:lang w:eastAsia="zh-CN"/>
        </w:rPr>
        <w:t>UEs with GNSS capabilities may not have accurate positioning information.</w:t>
      </w:r>
    </w:p>
    <w:p w14:paraId="12B4E41B" w14:textId="77777777" w:rsidR="00EE0060" w:rsidRDefault="00EE0060" w:rsidP="00EE0060">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2</w:t>
      </w:r>
      <w:r w:rsidRPr="00FC5EA1">
        <w:rPr>
          <w:rFonts w:ascii="Times New Roman" w:eastAsia="Malgun Gothic" w:hAnsi="Times New Roman" w:cs="Times New Roman"/>
          <w:b/>
          <w:szCs w:val="24"/>
          <w:lang w:eastAsia="zh-CN"/>
        </w:rPr>
        <w:t xml:space="preserve">: </w:t>
      </w:r>
      <w:r>
        <w:rPr>
          <w:rFonts w:ascii="Times New Roman" w:eastAsia="Malgun Gothic" w:hAnsi="Times New Roman" w:cs="Times New Roman"/>
          <w:b/>
          <w:szCs w:val="24"/>
          <w:lang w:eastAsia="zh-CN"/>
        </w:rPr>
        <w:t>UEs without GNSS capabilities may be introduced in the future and already having a mechanism to enable NR over NTN for UEs without accurate positioning information can be beneficial.</w:t>
      </w:r>
    </w:p>
    <w:p w14:paraId="43481BA9" w14:textId="08CF72AD" w:rsidR="00D84079" w:rsidRDefault="00D84079" w:rsidP="00EE0060">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3</w:t>
      </w:r>
      <w:r w:rsidRPr="00FC5EA1">
        <w:rPr>
          <w:rFonts w:ascii="Times New Roman" w:eastAsia="Malgun Gothic" w:hAnsi="Times New Roman" w:cs="Times New Roman"/>
          <w:b/>
          <w:szCs w:val="24"/>
          <w:lang w:eastAsia="zh-CN"/>
        </w:rPr>
        <w:t>:</w:t>
      </w:r>
      <w:r>
        <w:rPr>
          <w:rFonts w:ascii="Times New Roman" w:eastAsia="Malgun Gothic" w:hAnsi="Times New Roman" w:cs="Times New Roman"/>
          <w:b/>
          <w:szCs w:val="24"/>
          <w:lang w:eastAsia="zh-CN"/>
        </w:rPr>
        <w:t xml:space="preserve"> </w:t>
      </w:r>
      <w:r w:rsidRPr="000177DC">
        <w:rPr>
          <w:rFonts w:ascii="Times New Roman" w:eastAsia="Malgun Gothic" w:hAnsi="Times New Roman" w:cs="Times New Roman"/>
          <w:b/>
          <w:szCs w:val="24"/>
          <w:lang w:eastAsia="zh-CN"/>
        </w:rPr>
        <w:t xml:space="preserve">UEs with TA pre-compensation capability and UEs without TA pre-compensation capability </w:t>
      </w:r>
      <w:r>
        <w:rPr>
          <w:rFonts w:ascii="Times New Roman" w:eastAsia="Malgun Gothic" w:hAnsi="Times New Roman" w:cs="Times New Roman"/>
          <w:b/>
          <w:szCs w:val="24"/>
          <w:lang w:eastAsia="zh-CN"/>
        </w:rPr>
        <w:t>have</w:t>
      </w:r>
      <w:r w:rsidRPr="000177DC">
        <w:rPr>
          <w:rFonts w:ascii="Times New Roman" w:eastAsia="Malgun Gothic" w:hAnsi="Times New Roman" w:cs="Times New Roman"/>
          <w:b/>
          <w:szCs w:val="24"/>
          <w:lang w:eastAsia="zh-CN"/>
        </w:rPr>
        <w:t xml:space="preserve"> different preamble format</w:t>
      </w:r>
      <w:r>
        <w:rPr>
          <w:rFonts w:ascii="Times New Roman" w:eastAsia="Malgun Gothic" w:hAnsi="Times New Roman" w:cs="Times New Roman"/>
          <w:b/>
          <w:szCs w:val="24"/>
          <w:lang w:eastAsia="zh-CN"/>
        </w:rPr>
        <w:t xml:space="preserve"> requirements.</w:t>
      </w:r>
    </w:p>
    <w:p w14:paraId="5F75A450" w14:textId="16EB8164" w:rsidR="00EE0060" w:rsidRDefault="00EE0060" w:rsidP="00EE0060">
      <w:pPr>
        <w:widowControl/>
        <w:spacing w:after="120" w:line="240" w:lineRule="atLeast"/>
        <w:rPr>
          <w:rFonts w:ascii="Times New Roman" w:eastAsia="Malgun Gothic" w:hAnsi="Times New Roman" w:cs="Times New Roman"/>
          <w:b/>
          <w:szCs w:val="24"/>
          <w:lang w:eastAsia="zh-CN"/>
        </w:rPr>
      </w:pPr>
      <w:r w:rsidRPr="00FC5EA1">
        <w:rPr>
          <w:rFonts w:ascii="Times New Roman" w:eastAsia="Malgun Gothic" w:hAnsi="Times New Roman" w:cs="Times New Roman"/>
          <w:b/>
          <w:szCs w:val="24"/>
          <w:lang w:eastAsia="zh-CN"/>
        </w:rPr>
        <w:t xml:space="preserve">Observation </w:t>
      </w:r>
      <w:r>
        <w:rPr>
          <w:rFonts w:ascii="Times New Roman" w:eastAsia="Malgun Gothic" w:hAnsi="Times New Roman" w:cs="Times New Roman"/>
          <w:b/>
          <w:szCs w:val="24"/>
          <w:lang w:eastAsia="zh-CN"/>
        </w:rPr>
        <w:t>4</w:t>
      </w:r>
      <w:r w:rsidRPr="00FC5EA1">
        <w:rPr>
          <w:rFonts w:ascii="Times New Roman" w:eastAsia="Malgun Gothic" w:hAnsi="Times New Roman" w:cs="Times New Roman"/>
          <w:b/>
          <w:szCs w:val="24"/>
          <w:lang w:eastAsia="zh-CN"/>
        </w:rPr>
        <w:t>:</w:t>
      </w:r>
      <w:r>
        <w:rPr>
          <w:rFonts w:ascii="Times New Roman" w:eastAsia="Malgun Gothic" w:hAnsi="Times New Roman" w:cs="Times New Roman"/>
          <w:b/>
          <w:szCs w:val="24"/>
          <w:lang w:eastAsia="zh-CN"/>
        </w:rPr>
        <w:t xml:space="preserve"> Legacy NR does not allow multiple preamble formats</w:t>
      </w:r>
      <w:r w:rsidR="00D84079">
        <w:rPr>
          <w:rFonts w:ascii="Times New Roman" w:eastAsia="Malgun Gothic" w:hAnsi="Times New Roman" w:cs="Times New Roman"/>
          <w:b/>
          <w:szCs w:val="24"/>
          <w:lang w:eastAsia="zh-CN"/>
        </w:rPr>
        <w:t xml:space="preserve"> in a cell.</w:t>
      </w:r>
    </w:p>
    <w:p w14:paraId="2B6DD812" w14:textId="40E9FF53" w:rsidR="00015C08" w:rsidRPr="00873BD7" w:rsidRDefault="00D84079" w:rsidP="00D84079">
      <w:pPr>
        <w:widowControl/>
        <w:spacing w:after="120" w:line="240" w:lineRule="atLeast"/>
        <w:rPr>
          <w:rFonts w:ascii="Times New Roman" w:eastAsia="Malgun Gothic" w:hAnsi="Times New Roman" w:cs="Times New Roman"/>
          <w:b/>
          <w:szCs w:val="24"/>
          <w:lang w:eastAsia="zh-CN"/>
        </w:rPr>
      </w:pPr>
      <w:proofErr w:type="gramStart"/>
      <w:r w:rsidRPr="007A7D48">
        <w:rPr>
          <w:rFonts w:ascii="Times New Roman" w:eastAsia="Malgun Gothic" w:hAnsi="Times New Roman" w:cs="Times New Roman"/>
          <w:b/>
          <w:szCs w:val="24"/>
          <w:lang w:eastAsia="zh-CN"/>
        </w:rPr>
        <w:t>Proposal :</w:t>
      </w:r>
      <w:proofErr w:type="gramEnd"/>
      <w:r w:rsidRPr="007A7D48">
        <w:rPr>
          <w:rFonts w:ascii="Times New Roman" w:eastAsia="Malgun Gothic" w:hAnsi="Times New Roman" w:cs="Times New Roman"/>
          <w:b/>
          <w:szCs w:val="24"/>
          <w:lang w:eastAsia="zh-CN"/>
        </w:rPr>
        <w:t xml:space="preserve"> RAN2 to introduce two preamble formats in a cell for RACH resource partitioning between UEs with pre-compensation capability and UEs without pre-compensation capability. </w:t>
      </w:r>
    </w:p>
    <w:sectPr w:rsidR="00015C08" w:rsidRPr="00873BD7"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C6933" w14:textId="77777777" w:rsidR="008E2590" w:rsidRDefault="008E2590" w:rsidP="005F4664">
      <w:r>
        <w:separator/>
      </w:r>
    </w:p>
  </w:endnote>
  <w:endnote w:type="continuationSeparator" w:id="0">
    <w:p w14:paraId="7FFCA7B9" w14:textId="77777777" w:rsidR="008E2590" w:rsidRDefault="008E259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altName w:val="BatangChe"/>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507E4" w14:textId="77777777" w:rsidR="008E2590" w:rsidRDefault="008E2590" w:rsidP="005F4664">
      <w:r>
        <w:separator/>
      </w:r>
    </w:p>
  </w:footnote>
  <w:footnote w:type="continuationSeparator" w:id="0">
    <w:p w14:paraId="3891B492" w14:textId="77777777" w:rsidR="008E2590" w:rsidRDefault="008E259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05CB7A15"/>
    <w:multiLevelType w:val="hybridMultilevel"/>
    <w:tmpl w:val="F5C415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E3332"/>
    <w:multiLevelType w:val="hybridMultilevel"/>
    <w:tmpl w:val="8378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46308"/>
    <w:multiLevelType w:val="hybridMultilevel"/>
    <w:tmpl w:val="E048B5A2"/>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C7B55"/>
    <w:multiLevelType w:val="hybridMultilevel"/>
    <w:tmpl w:val="9A9E138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A25CF4"/>
    <w:multiLevelType w:val="hybridMultilevel"/>
    <w:tmpl w:val="84260EE0"/>
    <w:lvl w:ilvl="0" w:tplc="1A84BA1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A62B9"/>
    <w:multiLevelType w:val="hybridMultilevel"/>
    <w:tmpl w:val="BE6CA566"/>
    <w:lvl w:ilvl="0" w:tplc="C7F8FAC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B246E"/>
    <w:multiLevelType w:val="hybridMultilevel"/>
    <w:tmpl w:val="A7F85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937F94"/>
    <w:multiLevelType w:val="hybridMultilevel"/>
    <w:tmpl w:val="F42266E4"/>
    <w:lvl w:ilvl="0" w:tplc="0450C388">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D45A8"/>
    <w:multiLevelType w:val="hybridMultilevel"/>
    <w:tmpl w:val="07662290"/>
    <w:lvl w:ilvl="0" w:tplc="0DD4BD0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EA767BE"/>
    <w:multiLevelType w:val="hybridMultilevel"/>
    <w:tmpl w:val="7AE887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F9F48DB"/>
    <w:multiLevelType w:val="hybridMultilevel"/>
    <w:tmpl w:val="6116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62A4EC2"/>
    <w:multiLevelType w:val="hybridMultilevel"/>
    <w:tmpl w:val="8E6E750C"/>
    <w:lvl w:ilvl="0" w:tplc="62D28B8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79435B"/>
    <w:multiLevelType w:val="hybridMultilevel"/>
    <w:tmpl w:val="83282B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7D5225"/>
    <w:multiLevelType w:val="hybridMultilevel"/>
    <w:tmpl w:val="83F24254"/>
    <w:lvl w:ilvl="0" w:tplc="62DABD6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abstractNum w:abstractNumId="21" w15:restartNumberingAfterBreak="0">
    <w:nsid w:val="7AD45A56"/>
    <w:multiLevelType w:val="hybridMultilevel"/>
    <w:tmpl w:val="6E18FF98"/>
    <w:lvl w:ilvl="0" w:tplc="1096C574">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15:restartNumberingAfterBreak="0">
    <w:nsid w:val="7D4A5B23"/>
    <w:multiLevelType w:val="hybridMultilevel"/>
    <w:tmpl w:val="4A561A8C"/>
    <w:lvl w:ilvl="0" w:tplc="9D22A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0"/>
  </w:num>
  <w:num w:numId="2">
    <w:abstractNumId w:val="15"/>
  </w:num>
  <w:num w:numId="3">
    <w:abstractNumId w:val="7"/>
  </w:num>
  <w:num w:numId="4">
    <w:abstractNumId w:val="16"/>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6"/>
  </w:num>
  <w:num w:numId="9">
    <w:abstractNumId w:val="17"/>
  </w:num>
  <w:num w:numId="10">
    <w:abstractNumId w:val="11"/>
  </w:num>
  <w:num w:numId="11">
    <w:abstractNumId w:val="1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
  </w:num>
  <w:num w:numId="15">
    <w:abstractNumId w:val="14"/>
  </w:num>
  <w:num w:numId="16">
    <w:abstractNumId w:val="13"/>
  </w:num>
  <w:num w:numId="17">
    <w:abstractNumId w:val="3"/>
  </w:num>
  <w:num w:numId="18">
    <w:abstractNumId w:val="5"/>
  </w:num>
  <w:num w:numId="19">
    <w:abstractNumId w:val="13"/>
  </w:num>
  <w:num w:numId="20">
    <w:abstractNumId w:val="5"/>
  </w:num>
  <w:num w:numId="21">
    <w:abstractNumId w:val="8"/>
  </w:num>
  <w:num w:numId="22">
    <w:abstractNumId w:val="10"/>
  </w:num>
  <w:num w:numId="23">
    <w:abstractNumId w:val="18"/>
  </w:num>
  <w:num w:numId="24">
    <w:abstractNumId w:val="9"/>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5D6A"/>
    <w:rsid w:val="00007E8D"/>
    <w:rsid w:val="000119C3"/>
    <w:rsid w:val="00014BFF"/>
    <w:rsid w:val="00015C08"/>
    <w:rsid w:val="000177DC"/>
    <w:rsid w:val="00021830"/>
    <w:rsid w:val="000231F8"/>
    <w:rsid w:val="000238D7"/>
    <w:rsid w:val="00023CA8"/>
    <w:rsid w:val="0002681B"/>
    <w:rsid w:val="00027687"/>
    <w:rsid w:val="000314F2"/>
    <w:rsid w:val="00036F48"/>
    <w:rsid w:val="00040728"/>
    <w:rsid w:val="00041A82"/>
    <w:rsid w:val="00042293"/>
    <w:rsid w:val="00042326"/>
    <w:rsid w:val="00043643"/>
    <w:rsid w:val="00046B5A"/>
    <w:rsid w:val="000509A1"/>
    <w:rsid w:val="00050CF8"/>
    <w:rsid w:val="00051C88"/>
    <w:rsid w:val="00052BC6"/>
    <w:rsid w:val="0006112B"/>
    <w:rsid w:val="00064123"/>
    <w:rsid w:val="00066E17"/>
    <w:rsid w:val="000676FD"/>
    <w:rsid w:val="0007585D"/>
    <w:rsid w:val="00082884"/>
    <w:rsid w:val="00084DB3"/>
    <w:rsid w:val="00086C95"/>
    <w:rsid w:val="00095224"/>
    <w:rsid w:val="00097CAB"/>
    <w:rsid w:val="000A0020"/>
    <w:rsid w:val="000A551B"/>
    <w:rsid w:val="000A7CAB"/>
    <w:rsid w:val="000B4CFF"/>
    <w:rsid w:val="000B566C"/>
    <w:rsid w:val="000C576D"/>
    <w:rsid w:val="000E06C6"/>
    <w:rsid w:val="000E16E3"/>
    <w:rsid w:val="000E31FA"/>
    <w:rsid w:val="000E51C1"/>
    <w:rsid w:val="00100531"/>
    <w:rsid w:val="00100DE5"/>
    <w:rsid w:val="0010671F"/>
    <w:rsid w:val="00110E97"/>
    <w:rsid w:val="001222D0"/>
    <w:rsid w:val="00124240"/>
    <w:rsid w:val="001373CA"/>
    <w:rsid w:val="00141B4F"/>
    <w:rsid w:val="001426D6"/>
    <w:rsid w:val="00145FC8"/>
    <w:rsid w:val="0015089B"/>
    <w:rsid w:val="00153A0C"/>
    <w:rsid w:val="00160114"/>
    <w:rsid w:val="00165B44"/>
    <w:rsid w:val="001662AD"/>
    <w:rsid w:val="001827A5"/>
    <w:rsid w:val="00182E6C"/>
    <w:rsid w:val="001865A1"/>
    <w:rsid w:val="0019131B"/>
    <w:rsid w:val="00194913"/>
    <w:rsid w:val="0019640B"/>
    <w:rsid w:val="001969DF"/>
    <w:rsid w:val="001A2D0E"/>
    <w:rsid w:val="001A5EF1"/>
    <w:rsid w:val="001A6ADA"/>
    <w:rsid w:val="001B344E"/>
    <w:rsid w:val="001C0C61"/>
    <w:rsid w:val="001C26AA"/>
    <w:rsid w:val="001C3111"/>
    <w:rsid w:val="001C42C3"/>
    <w:rsid w:val="001C5B28"/>
    <w:rsid w:val="001D0091"/>
    <w:rsid w:val="001D2DFA"/>
    <w:rsid w:val="001D7563"/>
    <w:rsid w:val="001E0D1B"/>
    <w:rsid w:val="001E2D35"/>
    <w:rsid w:val="001E7D0F"/>
    <w:rsid w:val="001F04B0"/>
    <w:rsid w:val="001F114B"/>
    <w:rsid w:val="001F6BB8"/>
    <w:rsid w:val="00200106"/>
    <w:rsid w:val="00201962"/>
    <w:rsid w:val="0020296C"/>
    <w:rsid w:val="00205D18"/>
    <w:rsid w:val="00214B4D"/>
    <w:rsid w:val="00214FB6"/>
    <w:rsid w:val="0021606D"/>
    <w:rsid w:val="00222375"/>
    <w:rsid w:val="0024086E"/>
    <w:rsid w:val="00242501"/>
    <w:rsid w:val="002432C5"/>
    <w:rsid w:val="00247EBC"/>
    <w:rsid w:val="002502A5"/>
    <w:rsid w:val="00253FC5"/>
    <w:rsid w:val="002757FC"/>
    <w:rsid w:val="00286351"/>
    <w:rsid w:val="00287286"/>
    <w:rsid w:val="002913E0"/>
    <w:rsid w:val="00295C58"/>
    <w:rsid w:val="00295D1F"/>
    <w:rsid w:val="00297B08"/>
    <w:rsid w:val="00297E8B"/>
    <w:rsid w:val="002A0BC3"/>
    <w:rsid w:val="002A0FC1"/>
    <w:rsid w:val="002A2022"/>
    <w:rsid w:val="002A293B"/>
    <w:rsid w:val="002A3D26"/>
    <w:rsid w:val="002A7B1A"/>
    <w:rsid w:val="002B6A14"/>
    <w:rsid w:val="002B6B05"/>
    <w:rsid w:val="002B78D4"/>
    <w:rsid w:val="002C4DF0"/>
    <w:rsid w:val="002C646D"/>
    <w:rsid w:val="002C78B9"/>
    <w:rsid w:val="002D7B94"/>
    <w:rsid w:val="002E7D4C"/>
    <w:rsid w:val="002F0EB7"/>
    <w:rsid w:val="002F2A56"/>
    <w:rsid w:val="002F46E3"/>
    <w:rsid w:val="003010FF"/>
    <w:rsid w:val="0030379A"/>
    <w:rsid w:val="00303BFE"/>
    <w:rsid w:val="00310BCF"/>
    <w:rsid w:val="00321688"/>
    <w:rsid w:val="003275AC"/>
    <w:rsid w:val="00330641"/>
    <w:rsid w:val="00331DC9"/>
    <w:rsid w:val="00335E1C"/>
    <w:rsid w:val="0034132C"/>
    <w:rsid w:val="00343B2A"/>
    <w:rsid w:val="00343B86"/>
    <w:rsid w:val="00345D28"/>
    <w:rsid w:val="00350D4C"/>
    <w:rsid w:val="00350EA6"/>
    <w:rsid w:val="00351EE9"/>
    <w:rsid w:val="00354D43"/>
    <w:rsid w:val="00355233"/>
    <w:rsid w:val="00361CEC"/>
    <w:rsid w:val="00366AE7"/>
    <w:rsid w:val="00367BC1"/>
    <w:rsid w:val="00370FAF"/>
    <w:rsid w:val="00371569"/>
    <w:rsid w:val="00377CB5"/>
    <w:rsid w:val="00384B09"/>
    <w:rsid w:val="0038747C"/>
    <w:rsid w:val="003878A1"/>
    <w:rsid w:val="003955AE"/>
    <w:rsid w:val="0039584F"/>
    <w:rsid w:val="003A0749"/>
    <w:rsid w:val="003A2CC1"/>
    <w:rsid w:val="003A5F4B"/>
    <w:rsid w:val="003B2C32"/>
    <w:rsid w:val="003B7703"/>
    <w:rsid w:val="003C07E8"/>
    <w:rsid w:val="003D07EC"/>
    <w:rsid w:val="003D13FB"/>
    <w:rsid w:val="003E16F6"/>
    <w:rsid w:val="003E2035"/>
    <w:rsid w:val="003E3502"/>
    <w:rsid w:val="003E374F"/>
    <w:rsid w:val="003E61F6"/>
    <w:rsid w:val="003F15C1"/>
    <w:rsid w:val="003F3797"/>
    <w:rsid w:val="003F42DB"/>
    <w:rsid w:val="00402D3C"/>
    <w:rsid w:val="00411490"/>
    <w:rsid w:val="00412480"/>
    <w:rsid w:val="00413611"/>
    <w:rsid w:val="004159DA"/>
    <w:rsid w:val="004251FC"/>
    <w:rsid w:val="00432AFA"/>
    <w:rsid w:val="004407CC"/>
    <w:rsid w:val="00445816"/>
    <w:rsid w:val="0044605F"/>
    <w:rsid w:val="00446205"/>
    <w:rsid w:val="0045075D"/>
    <w:rsid w:val="00451CED"/>
    <w:rsid w:val="00452365"/>
    <w:rsid w:val="00454F46"/>
    <w:rsid w:val="00457537"/>
    <w:rsid w:val="00484A2E"/>
    <w:rsid w:val="00491B36"/>
    <w:rsid w:val="004A4CD1"/>
    <w:rsid w:val="004B39C3"/>
    <w:rsid w:val="004B7D23"/>
    <w:rsid w:val="004C4A68"/>
    <w:rsid w:val="004D0B78"/>
    <w:rsid w:val="004D42B4"/>
    <w:rsid w:val="004D7736"/>
    <w:rsid w:val="004E1D81"/>
    <w:rsid w:val="004E56C4"/>
    <w:rsid w:val="004E6038"/>
    <w:rsid w:val="004F23EB"/>
    <w:rsid w:val="004F3A75"/>
    <w:rsid w:val="00500A42"/>
    <w:rsid w:val="00503F85"/>
    <w:rsid w:val="005046DF"/>
    <w:rsid w:val="00515643"/>
    <w:rsid w:val="0052146F"/>
    <w:rsid w:val="00523E87"/>
    <w:rsid w:val="00526EF5"/>
    <w:rsid w:val="00527CE7"/>
    <w:rsid w:val="005339C1"/>
    <w:rsid w:val="00541371"/>
    <w:rsid w:val="005516C9"/>
    <w:rsid w:val="00564BEB"/>
    <w:rsid w:val="00576E8C"/>
    <w:rsid w:val="0058069E"/>
    <w:rsid w:val="00580F8F"/>
    <w:rsid w:val="005839B2"/>
    <w:rsid w:val="00584282"/>
    <w:rsid w:val="00584BCB"/>
    <w:rsid w:val="00587E70"/>
    <w:rsid w:val="00591D90"/>
    <w:rsid w:val="005953BA"/>
    <w:rsid w:val="00596E69"/>
    <w:rsid w:val="005A69F4"/>
    <w:rsid w:val="005B32A0"/>
    <w:rsid w:val="005B5A05"/>
    <w:rsid w:val="005C0320"/>
    <w:rsid w:val="005C0E58"/>
    <w:rsid w:val="005C1BE8"/>
    <w:rsid w:val="005C704F"/>
    <w:rsid w:val="005D0C4E"/>
    <w:rsid w:val="005D1A2B"/>
    <w:rsid w:val="005D773A"/>
    <w:rsid w:val="005E1030"/>
    <w:rsid w:val="005E1796"/>
    <w:rsid w:val="005E5424"/>
    <w:rsid w:val="005F0276"/>
    <w:rsid w:val="005F4664"/>
    <w:rsid w:val="00604BE9"/>
    <w:rsid w:val="0060596A"/>
    <w:rsid w:val="00605DD2"/>
    <w:rsid w:val="006064F9"/>
    <w:rsid w:val="00606F65"/>
    <w:rsid w:val="00607297"/>
    <w:rsid w:val="006076F4"/>
    <w:rsid w:val="00607FF5"/>
    <w:rsid w:val="006113B6"/>
    <w:rsid w:val="0061234C"/>
    <w:rsid w:val="00622915"/>
    <w:rsid w:val="00630364"/>
    <w:rsid w:val="00642371"/>
    <w:rsid w:val="00642A3A"/>
    <w:rsid w:val="00647DB9"/>
    <w:rsid w:val="00647E47"/>
    <w:rsid w:val="00652ED1"/>
    <w:rsid w:val="00664AD3"/>
    <w:rsid w:val="006666F7"/>
    <w:rsid w:val="006702D7"/>
    <w:rsid w:val="00680166"/>
    <w:rsid w:val="006829BA"/>
    <w:rsid w:val="00686F98"/>
    <w:rsid w:val="006878F2"/>
    <w:rsid w:val="00690741"/>
    <w:rsid w:val="00694903"/>
    <w:rsid w:val="006A06DE"/>
    <w:rsid w:val="006A29CC"/>
    <w:rsid w:val="006A2E5B"/>
    <w:rsid w:val="006B5409"/>
    <w:rsid w:val="006B70BB"/>
    <w:rsid w:val="006C17E4"/>
    <w:rsid w:val="006C6890"/>
    <w:rsid w:val="006D252A"/>
    <w:rsid w:val="006D29FE"/>
    <w:rsid w:val="006D501C"/>
    <w:rsid w:val="006D6F3D"/>
    <w:rsid w:val="006E4F8B"/>
    <w:rsid w:val="006F1C23"/>
    <w:rsid w:val="006F24F5"/>
    <w:rsid w:val="007009A6"/>
    <w:rsid w:val="00702035"/>
    <w:rsid w:val="00702F4B"/>
    <w:rsid w:val="0070385B"/>
    <w:rsid w:val="00713415"/>
    <w:rsid w:val="00714836"/>
    <w:rsid w:val="007150A9"/>
    <w:rsid w:val="007164C4"/>
    <w:rsid w:val="00717374"/>
    <w:rsid w:val="00722C5C"/>
    <w:rsid w:val="00725490"/>
    <w:rsid w:val="0073146C"/>
    <w:rsid w:val="007333AD"/>
    <w:rsid w:val="00737428"/>
    <w:rsid w:val="00744AA7"/>
    <w:rsid w:val="00744B0E"/>
    <w:rsid w:val="0076034C"/>
    <w:rsid w:val="00763403"/>
    <w:rsid w:val="0076466A"/>
    <w:rsid w:val="00765A27"/>
    <w:rsid w:val="007732CE"/>
    <w:rsid w:val="0077427D"/>
    <w:rsid w:val="007752BC"/>
    <w:rsid w:val="00777BE5"/>
    <w:rsid w:val="007813BE"/>
    <w:rsid w:val="00781C21"/>
    <w:rsid w:val="0078222B"/>
    <w:rsid w:val="0078415C"/>
    <w:rsid w:val="00790C43"/>
    <w:rsid w:val="00793117"/>
    <w:rsid w:val="00793B21"/>
    <w:rsid w:val="00794603"/>
    <w:rsid w:val="007A62FE"/>
    <w:rsid w:val="007A6BDC"/>
    <w:rsid w:val="007A705B"/>
    <w:rsid w:val="007A7D48"/>
    <w:rsid w:val="007B054B"/>
    <w:rsid w:val="007B0772"/>
    <w:rsid w:val="007B0DFA"/>
    <w:rsid w:val="007B213C"/>
    <w:rsid w:val="007B3DEC"/>
    <w:rsid w:val="007C4EE6"/>
    <w:rsid w:val="007D1C68"/>
    <w:rsid w:val="007D4297"/>
    <w:rsid w:val="007E103D"/>
    <w:rsid w:val="007E5FA3"/>
    <w:rsid w:val="007E7A2B"/>
    <w:rsid w:val="007F4B54"/>
    <w:rsid w:val="00811FD3"/>
    <w:rsid w:val="00812F4B"/>
    <w:rsid w:val="00830073"/>
    <w:rsid w:val="00833B21"/>
    <w:rsid w:val="008347B9"/>
    <w:rsid w:val="00840D4B"/>
    <w:rsid w:val="008522D9"/>
    <w:rsid w:val="00862239"/>
    <w:rsid w:val="0086259B"/>
    <w:rsid w:val="00863612"/>
    <w:rsid w:val="008668AC"/>
    <w:rsid w:val="00871ABF"/>
    <w:rsid w:val="0087206A"/>
    <w:rsid w:val="00873BD7"/>
    <w:rsid w:val="00886E2C"/>
    <w:rsid w:val="00892A28"/>
    <w:rsid w:val="00894794"/>
    <w:rsid w:val="00894C66"/>
    <w:rsid w:val="008A5BEA"/>
    <w:rsid w:val="008B5ACB"/>
    <w:rsid w:val="008D1889"/>
    <w:rsid w:val="008E2590"/>
    <w:rsid w:val="008F18EF"/>
    <w:rsid w:val="008F23AF"/>
    <w:rsid w:val="008F7F87"/>
    <w:rsid w:val="00904BCE"/>
    <w:rsid w:val="009307D5"/>
    <w:rsid w:val="00932874"/>
    <w:rsid w:val="00933CCD"/>
    <w:rsid w:val="009453C0"/>
    <w:rsid w:val="00945767"/>
    <w:rsid w:val="00946CCD"/>
    <w:rsid w:val="00950211"/>
    <w:rsid w:val="0095161A"/>
    <w:rsid w:val="0095392E"/>
    <w:rsid w:val="0096222B"/>
    <w:rsid w:val="00963838"/>
    <w:rsid w:val="009639D5"/>
    <w:rsid w:val="0096438C"/>
    <w:rsid w:val="009649A0"/>
    <w:rsid w:val="00965376"/>
    <w:rsid w:val="00965A6D"/>
    <w:rsid w:val="00973096"/>
    <w:rsid w:val="00974C9D"/>
    <w:rsid w:val="00977119"/>
    <w:rsid w:val="00980C09"/>
    <w:rsid w:val="0098563D"/>
    <w:rsid w:val="00986F8A"/>
    <w:rsid w:val="00990E2F"/>
    <w:rsid w:val="0099518E"/>
    <w:rsid w:val="009956C2"/>
    <w:rsid w:val="00996A55"/>
    <w:rsid w:val="009A15E3"/>
    <w:rsid w:val="009A2794"/>
    <w:rsid w:val="009A3733"/>
    <w:rsid w:val="009A4A43"/>
    <w:rsid w:val="009B0CDB"/>
    <w:rsid w:val="009C03CE"/>
    <w:rsid w:val="009C2631"/>
    <w:rsid w:val="009D20FD"/>
    <w:rsid w:val="009D4B41"/>
    <w:rsid w:val="009D56C9"/>
    <w:rsid w:val="009D7832"/>
    <w:rsid w:val="009D7ACA"/>
    <w:rsid w:val="009F0D54"/>
    <w:rsid w:val="009F6026"/>
    <w:rsid w:val="00A03B8B"/>
    <w:rsid w:val="00A03E0E"/>
    <w:rsid w:val="00A04450"/>
    <w:rsid w:val="00A072F9"/>
    <w:rsid w:val="00A14CC6"/>
    <w:rsid w:val="00A21945"/>
    <w:rsid w:val="00A264F2"/>
    <w:rsid w:val="00A27879"/>
    <w:rsid w:val="00A30724"/>
    <w:rsid w:val="00A31849"/>
    <w:rsid w:val="00A34EFD"/>
    <w:rsid w:val="00A36E5D"/>
    <w:rsid w:val="00A3794B"/>
    <w:rsid w:val="00A479C4"/>
    <w:rsid w:val="00A57B87"/>
    <w:rsid w:val="00A64547"/>
    <w:rsid w:val="00A64D94"/>
    <w:rsid w:val="00A70319"/>
    <w:rsid w:val="00A7654F"/>
    <w:rsid w:val="00A80C3F"/>
    <w:rsid w:val="00A826A6"/>
    <w:rsid w:val="00A8518C"/>
    <w:rsid w:val="00A94AC6"/>
    <w:rsid w:val="00A96EF6"/>
    <w:rsid w:val="00A978EE"/>
    <w:rsid w:val="00AB05AA"/>
    <w:rsid w:val="00AB5476"/>
    <w:rsid w:val="00AC1EE3"/>
    <w:rsid w:val="00AC411A"/>
    <w:rsid w:val="00AD291E"/>
    <w:rsid w:val="00AD7A25"/>
    <w:rsid w:val="00AD7E50"/>
    <w:rsid w:val="00AE4747"/>
    <w:rsid w:val="00AE568A"/>
    <w:rsid w:val="00AF3DF7"/>
    <w:rsid w:val="00AF73B2"/>
    <w:rsid w:val="00B006EE"/>
    <w:rsid w:val="00B0134C"/>
    <w:rsid w:val="00B02901"/>
    <w:rsid w:val="00B03781"/>
    <w:rsid w:val="00B072F2"/>
    <w:rsid w:val="00B22D31"/>
    <w:rsid w:val="00B234DF"/>
    <w:rsid w:val="00B26B13"/>
    <w:rsid w:val="00B30B5F"/>
    <w:rsid w:val="00B3423A"/>
    <w:rsid w:val="00B401DA"/>
    <w:rsid w:val="00B408E4"/>
    <w:rsid w:val="00B65CC5"/>
    <w:rsid w:val="00B66979"/>
    <w:rsid w:val="00B72116"/>
    <w:rsid w:val="00B863EF"/>
    <w:rsid w:val="00B87E16"/>
    <w:rsid w:val="00B9069D"/>
    <w:rsid w:val="00B90D16"/>
    <w:rsid w:val="00BA1A5B"/>
    <w:rsid w:val="00BA5614"/>
    <w:rsid w:val="00BA6C84"/>
    <w:rsid w:val="00BB06F8"/>
    <w:rsid w:val="00BB17A9"/>
    <w:rsid w:val="00BC2734"/>
    <w:rsid w:val="00BC4F87"/>
    <w:rsid w:val="00BC7EB0"/>
    <w:rsid w:val="00BD0829"/>
    <w:rsid w:val="00BE0B04"/>
    <w:rsid w:val="00BE27C1"/>
    <w:rsid w:val="00BE48AD"/>
    <w:rsid w:val="00BE7C9E"/>
    <w:rsid w:val="00BE7E4F"/>
    <w:rsid w:val="00BF2DBF"/>
    <w:rsid w:val="00BF5627"/>
    <w:rsid w:val="00BF64BD"/>
    <w:rsid w:val="00BF71FD"/>
    <w:rsid w:val="00C02FB4"/>
    <w:rsid w:val="00C033A8"/>
    <w:rsid w:val="00C145EC"/>
    <w:rsid w:val="00C150AD"/>
    <w:rsid w:val="00C161AC"/>
    <w:rsid w:val="00C1789F"/>
    <w:rsid w:val="00C17C5A"/>
    <w:rsid w:val="00C3035B"/>
    <w:rsid w:val="00C33D61"/>
    <w:rsid w:val="00C530BD"/>
    <w:rsid w:val="00C5371D"/>
    <w:rsid w:val="00C56D8B"/>
    <w:rsid w:val="00C71AD6"/>
    <w:rsid w:val="00C74C5F"/>
    <w:rsid w:val="00C775ED"/>
    <w:rsid w:val="00C77E7D"/>
    <w:rsid w:val="00C83379"/>
    <w:rsid w:val="00C833F9"/>
    <w:rsid w:val="00C86628"/>
    <w:rsid w:val="00C93279"/>
    <w:rsid w:val="00C95550"/>
    <w:rsid w:val="00C96A01"/>
    <w:rsid w:val="00CB3EC9"/>
    <w:rsid w:val="00CC0092"/>
    <w:rsid w:val="00CC4E1F"/>
    <w:rsid w:val="00CC7404"/>
    <w:rsid w:val="00CD6305"/>
    <w:rsid w:val="00CE4B88"/>
    <w:rsid w:val="00CE5105"/>
    <w:rsid w:val="00CF0F24"/>
    <w:rsid w:val="00CF2F64"/>
    <w:rsid w:val="00CF6E10"/>
    <w:rsid w:val="00D16371"/>
    <w:rsid w:val="00D17F28"/>
    <w:rsid w:val="00D25C99"/>
    <w:rsid w:val="00D25D36"/>
    <w:rsid w:val="00D43EE4"/>
    <w:rsid w:val="00D45315"/>
    <w:rsid w:val="00D457E7"/>
    <w:rsid w:val="00D46E96"/>
    <w:rsid w:val="00D47156"/>
    <w:rsid w:val="00D47E81"/>
    <w:rsid w:val="00D5395C"/>
    <w:rsid w:val="00D561BC"/>
    <w:rsid w:val="00D60BF2"/>
    <w:rsid w:val="00D62BB1"/>
    <w:rsid w:val="00D65A59"/>
    <w:rsid w:val="00D723C1"/>
    <w:rsid w:val="00D72A85"/>
    <w:rsid w:val="00D81D39"/>
    <w:rsid w:val="00D84079"/>
    <w:rsid w:val="00D9413E"/>
    <w:rsid w:val="00D96537"/>
    <w:rsid w:val="00D97146"/>
    <w:rsid w:val="00DA5FD3"/>
    <w:rsid w:val="00DA777C"/>
    <w:rsid w:val="00DA7D8A"/>
    <w:rsid w:val="00DB11E2"/>
    <w:rsid w:val="00DB3782"/>
    <w:rsid w:val="00DB7180"/>
    <w:rsid w:val="00DB7DC3"/>
    <w:rsid w:val="00DC50FF"/>
    <w:rsid w:val="00DC6BDF"/>
    <w:rsid w:val="00DD348C"/>
    <w:rsid w:val="00DE578B"/>
    <w:rsid w:val="00E069BB"/>
    <w:rsid w:val="00E10B8E"/>
    <w:rsid w:val="00E23839"/>
    <w:rsid w:val="00E352A5"/>
    <w:rsid w:val="00E518FA"/>
    <w:rsid w:val="00E61300"/>
    <w:rsid w:val="00E86490"/>
    <w:rsid w:val="00E86B67"/>
    <w:rsid w:val="00E87A34"/>
    <w:rsid w:val="00E90C4F"/>
    <w:rsid w:val="00E9351A"/>
    <w:rsid w:val="00E94764"/>
    <w:rsid w:val="00EA1490"/>
    <w:rsid w:val="00EA45F5"/>
    <w:rsid w:val="00EB0A90"/>
    <w:rsid w:val="00EB10D0"/>
    <w:rsid w:val="00EC4D4F"/>
    <w:rsid w:val="00ED0366"/>
    <w:rsid w:val="00ED352C"/>
    <w:rsid w:val="00ED4668"/>
    <w:rsid w:val="00EE0060"/>
    <w:rsid w:val="00EE55D5"/>
    <w:rsid w:val="00EF02AB"/>
    <w:rsid w:val="00EF218B"/>
    <w:rsid w:val="00F03168"/>
    <w:rsid w:val="00F1104C"/>
    <w:rsid w:val="00F14038"/>
    <w:rsid w:val="00F17B26"/>
    <w:rsid w:val="00F22516"/>
    <w:rsid w:val="00F23020"/>
    <w:rsid w:val="00F23E33"/>
    <w:rsid w:val="00F23F74"/>
    <w:rsid w:val="00F2630C"/>
    <w:rsid w:val="00F313FA"/>
    <w:rsid w:val="00F4302A"/>
    <w:rsid w:val="00F5346C"/>
    <w:rsid w:val="00F61A76"/>
    <w:rsid w:val="00F6596F"/>
    <w:rsid w:val="00F65E19"/>
    <w:rsid w:val="00F7539F"/>
    <w:rsid w:val="00F828C2"/>
    <w:rsid w:val="00F83DC7"/>
    <w:rsid w:val="00F852BD"/>
    <w:rsid w:val="00F95BF5"/>
    <w:rsid w:val="00F975FB"/>
    <w:rsid w:val="00F97959"/>
    <w:rsid w:val="00FA2A16"/>
    <w:rsid w:val="00FA53AA"/>
    <w:rsid w:val="00FB07E1"/>
    <w:rsid w:val="00FB1500"/>
    <w:rsid w:val="00FB7031"/>
    <w:rsid w:val="00FB7D6D"/>
    <w:rsid w:val="00FE2DFC"/>
    <w:rsid w:val="00FE6985"/>
    <w:rsid w:val="00FE6DA6"/>
    <w:rsid w:val="00FF37D9"/>
    <w:rsid w:val="00FF4650"/>
    <w:rsid w:val="00FF4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A03DA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A8"/>
    <w:pPr>
      <w:widowControl w:val="0"/>
      <w:jc w:val="both"/>
    </w:pPr>
    <w:rPr>
      <w:lang w:val="en-GB"/>
    </w:rPr>
  </w:style>
  <w:style w:type="paragraph" w:styleId="Heading1">
    <w:name w:val="heading 1"/>
    <w:basedOn w:val="Normal"/>
    <w:next w:val="Normal"/>
    <w:link w:val="Heading1Char"/>
    <w:uiPriority w:val="9"/>
    <w:qFormat/>
    <w:rsid w:val="00A3072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30724"/>
    <w:pPr>
      <w:widowControl/>
      <w:spacing w:before="180" w:after="180"/>
      <w:ind w:rightChars="100" w:right="100"/>
      <w:jc w:val="left"/>
      <w:outlineLvl w:val="1"/>
    </w:pPr>
    <w:rPr>
      <w:rFonts w:ascii="Arial" w:eastAsia="SimSun" w:hAnsi="Arial" w:cs="Times New Roman"/>
      <w:color w:val="auto"/>
      <w:kern w:val="0"/>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customStyle="1" w:styleId="B2">
    <w:name w:val="B2"/>
    <w:basedOn w:val="Normal"/>
    <w:link w:val="B2Char"/>
    <w:qFormat/>
    <w:rsid w:val="00100531"/>
    <w:pPr>
      <w:widowControl/>
      <w:spacing w:after="180"/>
      <w:ind w:left="851" w:hanging="284"/>
      <w:jc w:val="left"/>
    </w:pPr>
    <w:rPr>
      <w:rFonts w:ascii="Times New Roman" w:eastAsia="Malgun Gothic" w:hAnsi="Times New Roman" w:cs="Times New Roman"/>
      <w:kern w:val="0"/>
      <w:sz w:val="20"/>
      <w:szCs w:val="20"/>
      <w:lang w:eastAsia="en-US"/>
    </w:rPr>
  </w:style>
  <w:style w:type="paragraph" w:customStyle="1" w:styleId="B3">
    <w:name w:val="B3"/>
    <w:basedOn w:val="Normal"/>
    <w:link w:val="B3Char"/>
    <w:qFormat/>
    <w:rsid w:val="00100531"/>
    <w:pPr>
      <w:widowControl/>
      <w:spacing w:after="180"/>
      <w:ind w:left="1135" w:hanging="284"/>
      <w:jc w:val="left"/>
    </w:pPr>
    <w:rPr>
      <w:rFonts w:ascii="Times New Roman" w:eastAsia="Malgun Gothic" w:hAnsi="Times New Roman" w:cs="Times New Roman"/>
      <w:kern w:val="0"/>
      <w:sz w:val="20"/>
      <w:szCs w:val="20"/>
      <w:lang w:eastAsia="en-US"/>
    </w:rPr>
  </w:style>
  <w:style w:type="paragraph" w:customStyle="1" w:styleId="B4">
    <w:name w:val="B4"/>
    <w:basedOn w:val="Normal"/>
    <w:link w:val="B4Char"/>
    <w:qFormat/>
    <w:rsid w:val="00100531"/>
    <w:pPr>
      <w:widowControl/>
      <w:spacing w:after="180"/>
      <w:ind w:left="1418" w:hanging="284"/>
      <w:jc w:val="left"/>
    </w:pPr>
    <w:rPr>
      <w:rFonts w:ascii="Times New Roman" w:eastAsia="Malgun Gothic" w:hAnsi="Times New Roman" w:cs="Times New Roman"/>
      <w:kern w:val="0"/>
      <w:sz w:val="20"/>
      <w:szCs w:val="20"/>
      <w:lang w:eastAsia="en-US"/>
    </w:rPr>
  </w:style>
  <w:style w:type="paragraph" w:customStyle="1" w:styleId="B5">
    <w:name w:val="B5"/>
    <w:basedOn w:val="List5"/>
    <w:link w:val="B5Char"/>
    <w:rsid w:val="00100531"/>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100531"/>
    <w:rPr>
      <w:rFonts w:ascii="Times New Roman" w:eastAsia="Malgun Gothic" w:hAnsi="Times New Roman" w:cs="Times New Roman"/>
      <w:kern w:val="0"/>
      <w:sz w:val="20"/>
      <w:szCs w:val="20"/>
      <w:lang w:val="en-GB" w:eastAsia="en-US"/>
    </w:rPr>
  </w:style>
  <w:style w:type="character" w:customStyle="1" w:styleId="B3Char">
    <w:name w:val="B3 Char"/>
    <w:link w:val="B3"/>
    <w:qFormat/>
    <w:rsid w:val="00100531"/>
    <w:rPr>
      <w:rFonts w:ascii="Times New Roman" w:eastAsia="Malgun Gothic" w:hAnsi="Times New Roman" w:cs="Times New Roman"/>
      <w:kern w:val="0"/>
      <w:sz w:val="20"/>
      <w:szCs w:val="20"/>
      <w:lang w:val="en-GB" w:eastAsia="en-US"/>
    </w:rPr>
  </w:style>
  <w:style w:type="character" w:customStyle="1" w:styleId="B4Char">
    <w:name w:val="B4 Char"/>
    <w:link w:val="B4"/>
    <w:qFormat/>
    <w:rsid w:val="00100531"/>
    <w:rPr>
      <w:rFonts w:ascii="Times New Roman" w:eastAsia="Malgun Gothic" w:hAnsi="Times New Roman" w:cs="Times New Roman"/>
      <w:kern w:val="0"/>
      <w:sz w:val="20"/>
      <w:szCs w:val="20"/>
      <w:lang w:val="en-GB" w:eastAsia="en-US"/>
    </w:rPr>
  </w:style>
  <w:style w:type="character" w:customStyle="1" w:styleId="B5Char">
    <w:name w:val="B5 Char"/>
    <w:link w:val="B5"/>
    <w:qFormat/>
    <w:rsid w:val="00100531"/>
    <w:rPr>
      <w:rFonts w:ascii="Times New Roman" w:eastAsia="Times New Roman" w:hAnsi="Times New Roman" w:cs="Times New Roman"/>
      <w:kern w:val="0"/>
      <w:sz w:val="20"/>
      <w:szCs w:val="20"/>
      <w:lang w:val="x-none" w:eastAsia="x-none"/>
    </w:rPr>
  </w:style>
  <w:style w:type="paragraph" w:styleId="List5">
    <w:name w:val="List 5"/>
    <w:basedOn w:val="Normal"/>
    <w:uiPriority w:val="99"/>
    <w:semiHidden/>
    <w:unhideWhenUsed/>
    <w:rsid w:val="00100531"/>
    <w:pPr>
      <w:ind w:left="1415" w:hanging="283"/>
      <w:contextualSpacing/>
    </w:p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 단"/>
    <w:basedOn w:val="Normal"/>
    <w:link w:val="ListParagraphChar"/>
    <w:uiPriority w:val="34"/>
    <w:qFormat/>
    <w:rsid w:val="002D7B94"/>
    <w:pPr>
      <w:ind w:left="720"/>
      <w:contextualSpacing/>
    </w:pPr>
  </w:style>
  <w:style w:type="character" w:styleId="Hyperlink">
    <w:name w:val="Hyperlink"/>
    <w:basedOn w:val="DefaultParagraphFont"/>
    <w:uiPriority w:val="99"/>
    <w:unhideWhenUsed/>
    <w:rsid w:val="009A2794"/>
    <w:rPr>
      <w:color w:val="0563C1" w:themeColor="hyperlink"/>
      <w:u w:val="single"/>
    </w:rPr>
  </w:style>
  <w:style w:type="character" w:customStyle="1" w:styleId="UnresolvedMention1">
    <w:name w:val="Unresolved Mention1"/>
    <w:basedOn w:val="DefaultParagraphFont"/>
    <w:uiPriority w:val="99"/>
    <w:semiHidden/>
    <w:unhideWhenUsed/>
    <w:rsid w:val="009A2794"/>
    <w:rPr>
      <w:color w:val="605E5C"/>
      <w:shd w:val="clear" w:color="auto" w:fill="E1DFDD"/>
    </w:rPr>
  </w:style>
  <w:style w:type="character" w:customStyle="1" w:styleId="B3Char2">
    <w:name w:val="B3 Char2"/>
    <w:qFormat/>
    <w:rsid w:val="00B22D31"/>
    <w:rPr>
      <w:rFonts w:ascii="Times New Roman" w:eastAsia="Times New Roman" w:hAnsi="Times New Roman"/>
      <w:kern w:val="0"/>
      <w:sz w:val="20"/>
      <w:szCs w:val="20"/>
      <w:lang w:val="x-none" w:eastAsia="x-none"/>
    </w:rPr>
  </w:style>
  <w:style w:type="paragraph" w:customStyle="1" w:styleId="Doc-text2">
    <w:name w:val="Doc-text2"/>
    <w:basedOn w:val="Normal"/>
    <w:link w:val="Doc-text2Char"/>
    <w:qFormat/>
    <w:rsid w:val="00B22D31"/>
    <w:pPr>
      <w:widowControl/>
      <w:tabs>
        <w:tab w:val="left" w:pos="1622"/>
      </w:tabs>
      <w:ind w:left="1622" w:hanging="363"/>
      <w:jc w:val="left"/>
    </w:pPr>
    <w:rPr>
      <w:rFonts w:ascii="Arial" w:eastAsia="MS Mincho" w:hAnsi="Arial" w:cs="Times New Roman"/>
      <w:kern w:val="0"/>
      <w:sz w:val="24"/>
      <w:szCs w:val="24"/>
      <w:lang w:val="en-US" w:eastAsia="en-GB"/>
    </w:rPr>
  </w:style>
  <w:style w:type="character" w:customStyle="1" w:styleId="Doc-text2Char">
    <w:name w:val="Doc-text2 Char"/>
    <w:link w:val="Doc-text2"/>
    <w:qFormat/>
    <w:rsid w:val="00B22D31"/>
    <w:rPr>
      <w:rFonts w:ascii="Arial" w:eastAsia="MS Mincho" w:hAnsi="Arial" w:cs="Times New Roman"/>
      <w:kern w:val="0"/>
      <w:sz w:val="24"/>
      <w:szCs w:val="24"/>
      <w:lang w:eastAsia="en-GB"/>
    </w:rPr>
  </w:style>
  <w:style w:type="paragraph" w:customStyle="1" w:styleId="B1">
    <w:name w:val="B1"/>
    <w:basedOn w:val="Normal"/>
    <w:link w:val="B1Char"/>
    <w:qFormat/>
    <w:rsid w:val="007150A9"/>
    <w:pPr>
      <w:widowControl/>
      <w:spacing w:after="180"/>
      <w:ind w:left="568" w:hanging="284"/>
      <w:jc w:val="left"/>
    </w:pPr>
    <w:rPr>
      <w:rFonts w:ascii="Times New Roman" w:eastAsia="Malgun Gothic" w:hAnsi="Times New Roman" w:cs="Times New Roman"/>
      <w:kern w:val="0"/>
      <w:sz w:val="20"/>
      <w:szCs w:val="20"/>
      <w:lang w:eastAsia="en-US"/>
    </w:rPr>
  </w:style>
  <w:style w:type="character" w:customStyle="1" w:styleId="B1Char">
    <w:name w:val="B1 Char"/>
    <w:link w:val="B1"/>
    <w:rsid w:val="007150A9"/>
    <w:rPr>
      <w:rFonts w:ascii="Times New Roman" w:eastAsia="Malgun Gothic"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C1BE8"/>
    <w:rPr>
      <w:lang w:val="en-GB"/>
    </w:rPr>
  </w:style>
  <w:style w:type="paragraph" w:customStyle="1" w:styleId="NO">
    <w:name w:val="NO"/>
    <w:basedOn w:val="Normal"/>
    <w:link w:val="NOZchn"/>
    <w:qFormat/>
    <w:rsid w:val="00484A2E"/>
    <w:pPr>
      <w:keepLines/>
      <w:widowControl/>
      <w:spacing w:after="180"/>
      <w:ind w:left="1135" w:hanging="851"/>
      <w:jc w:val="left"/>
    </w:pPr>
    <w:rPr>
      <w:rFonts w:ascii="Times New Roman" w:eastAsia="Times New Roman" w:hAnsi="Times New Roman" w:cs="Times New Roman"/>
      <w:kern w:val="0"/>
      <w:sz w:val="20"/>
      <w:szCs w:val="20"/>
      <w:lang w:val="x-none" w:eastAsia="en-US"/>
    </w:rPr>
  </w:style>
  <w:style w:type="character" w:customStyle="1" w:styleId="NOZchn">
    <w:name w:val="NO Zchn"/>
    <w:link w:val="NO"/>
    <w:rsid w:val="00484A2E"/>
    <w:rPr>
      <w:rFonts w:ascii="Times New Roman" w:eastAsia="Times New Roman" w:hAnsi="Times New Roman" w:cs="Times New Roman"/>
      <w:kern w:val="0"/>
      <w:sz w:val="20"/>
      <w:szCs w:val="20"/>
      <w:lang w:val="x-none" w:eastAsia="en-US"/>
    </w:rPr>
  </w:style>
  <w:style w:type="character" w:customStyle="1" w:styleId="B1Char1">
    <w:name w:val="B1 Char1"/>
    <w:qFormat/>
    <w:locked/>
    <w:rsid w:val="00EF218B"/>
    <w:rPr>
      <w:lang w:val="en-GB" w:eastAsia="ja-JP"/>
    </w:rPr>
  </w:style>
  <w:style w:type="paragraph" w:styleId="BalloonText">
    <w:name w:val="Balloon Text"/>
    <w:basedOn w:val="Normal"/>
    <w:link w:val="BalloonTextChar"/>
    <w:uiPriority w:val="99"/>
    <w:semiHidden/>
    <w:unhideWhenUsed/>
    <w:rsid w:val="006D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3D"/>
    <w:rPr>
      <w:rFonts w:ascii="Segoe UI" w:hAnsi="Segoe UI" w:cs="Segoe UI"/>
      <w:sz w:val="18"/>
      <w:szCs w:val="18"/>
      <w:lang w:val="en-GB"/>
    </w:rPr>
  </w:style>
  <w:style w:type="character" w:customStyle="1" w:styleId="Heading2Char">
    <w:name w:val="Heading 2 Char"/>
    <w:basedOn w:val="DefaultParagraphFont"/>
    <w:link w:val="Heading2"/>
    <w:qFormat/>
    <w:rsid w:val="00A30724"/>
    <w:rPr>
      <w:rFonts w:ascii="Arial" w:eastAsia="SimSun" w:hAnsi="Arial" w:cs="Times New Roman"/>
      <w:kern w:val="0"/>
      <w:sz w:val="28"/>
      <w:szCs w:val="20"/>
      <w:lang w:val="en-GB" w:eastAsia="en-US"/>
    </w:rPr>
  </w:style>
  <w:style w:type="character" w:customStyle="1" w:styleId="Heading1Char">
    <w:name w:val="Heading 1 Char"/>
    <w:basedOn w:val="DefaultParagraphFont"/>
    <w:link w:val="Heading1"/>
    <w:uiPriority w:val="9"/>
    <w:rsid w:val="00A30724"/>
    <w:rPr>
      <w:rFonts w:asciiTheme="majorHAnsi" w:eastAsiaTheme="majorEastAsia" w:hAnsiTheme="majorHAnsi" w:cstheme="majorBidi"/>
      <w:color w:val="2E74B5" w:themeColor="accent1" w:themeShade="BF"/>
      <w:sz w:val="32"/>
      <w:szCs w:val="32"/>
      <w:lang w:val="en-GB"/>
    </w:rPr>
  </w:style>
  <w:style w:type="character" w:customStyle="1" w:styleId="CommentsChar">
    <w:name w:val="Comments Char"/>
    <w:link w:val="Comments"/>
    <w:qFormat/>
    <w:locked/>
    <w:rsid w:val="003F42DB"/>
    <w:rPr>
      <w:rFonts w:ascii="Arial" w:eastAsia="Times New Roman" w:hAnsi="Arial" w:cs="Arial"/>
      <w:i/>
      <w:noProof/>
      <w:sz w:val="18"/>
    </w:rPr>
  </w:style>
  <w:style w:type="paragraph" w:customStyle="1" w:styleId="Comments">
    <w:name w:val="Comments"/>
    <w:basedOn w:val="Normal"/>
    <w:link w:val="CommentsChar"/>
    <w:qFormat/>
    <w:rsid w:val="003F42DB"/>
    <w:pPr>
      <w:widowControl/>
      <w:overflowPunct w:val="0"/>
      <w:autoSpaceDE w:val="0"/>
      <w:autoSpaceDN w:val="0"/>
      <w:adjustRightInd w:val="0"/>
      <w:spacing w:before="40"/>
      <w:jc w:val="left"/>
    </w:pPr>
    <w:rPr>
      <w:rFonts w:ascii="Arial" w:eastAsia="Times New Roman" w:hAnsi="Arial" w:cs="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0332">
      <w:bodyDiv w:val="1"/>
      <w:marLeft w:val="0"/>
      <w:marRight w:val="0"/>
      <w:marTop w:val="0"/>
      <w:marBottom w:val="0"/>
      <w:divBdr>
        <w:top w:val="none" w:sz="0" w:space="0" w:color="auto"/>
        <w:left w:val="none" w:sz="0" w:space="0" w:color="auto"/>
        <w:bottom w:val="none" w:sz="0" w:space="0" w:color="auto"/>
        <w:right w:val="none" w:sz="0" w:space="0" w:color="auto"/>
      </w:divBdr>
    </w:div>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97070770">
      <w:bodyDiv w:val="1"/>
      <w:marLeft w:val="0"/>
      <w:marRight w:val="0"/>
      <w:marTop w:val="0"/>
      <w:marBottom w:val="0"/>
      <w:divBdr>
        <w:top w:val="none" w:sz="0" w:space="0" w:color="auto"/>
        <w:left w:val="none" w:sz="0" w:space="0" w:color="auto"/>
        <w:bottom w:val="none" w:sz="0" w:space="0" w:color="auto"/>
        <w:right w:val="none" w:sz="0" w:space="0" w:color="auto"/>
      </w:divBdr>
    </w:div>
    <w:div w:id="335545515">
      <w:bodyDiv w:val="1"/>
      <w:marLeft w:val="0"/>
      <w:marRight w:val="0"/>
      <w:marTop w:val="0"/>
      <w:marBottom w:val="0"/>
      <w:divBdr>
        <w:top w:val="none" w:sz="0" w:space="0" w:color="auto"/>
        <w:left w:val="none" w:sz="0" w:space="0" w:color="auto"/>
        <w:bottom w:val="none" w:sz="0" w:space="0" w:color="auto"/>
        <w:right w:val="none" w:sz="0" w:space="0" w:color="auto"/>
      </w:divBdr>
    </w:div>
    <w:div w:id="342318624">
      <w:bodyDiv w:val="1"/>
      <w:marLeft w:val="0"/>
      <w:marRight w:val="0"/>
      <w:marTop w:val="0"/>
      <w:marBottom w:val="0"/>
      <w:divBdr>
        <w:top w:val="none" w:sz="0" w:space="0" w:color="auto"/>
        <w:left w:val="none" w:sz="0" w:space="0" w:color="auto"/>
        <w:bottom w:val="none" w:sz="0" w:space="0" w:color="auto"/>
        <w:right w:val="none" w:sz="0" w:space="0" w:color="auto"/>
      </w:divBdr>
    </w:div>
    <w:div w:id="639264111">
      <w:bodyDiv w:val="1"/>
      <w:marLeft w:val="0"/>
      <w:marRight w:val="0"/>
      <w:marTop w:val="0"/>
      <w:marBottom w:val="0"/>
      <w:divBdr>
        <w:top w:val="none" w:sz="0" w:space="0" w:color="auto"/>
        <w:left w:val="none" w:sz="0" w:space="0" w:color="auto"/>
        <w:bottom w:val="none" w:sz="0" w:space="0" w:color="auto"/>
        <w:right w:val="none" w:sz="0" w:space="0" w:color="auto"/>
      </w:divBdr>
    </w:div>
    <w:div w:id="703334012">
      <w:bodyDiv w:val="1"/>
      <w:marLeft w:val="0"/>
      <w:marRight w:val="0"/>
      <w:marTop w:val="0"/>
      <w:marBottom w:val="0"/>
      <w:divBdr>
        <w:top w:val="none" w:sz="0" w:space="0" w:color="auto"/>
        <w:left w:val="none" w:sz="0" w:space="0" w:color="auto"/>
        <w:bottom w:val="none" w:sz="0" w:space="0" w:color="auto"/>
        <w:right w:val="none" w:sz="0" w:space="0" w:color="auto"/>
      </w:divBdr>
    </w:div>
    <w:div w:id="764837757">
      <w:bodyDiv w:val="1"/>
      <w:marLeft w:val="0"/>
      <w:marRight w:val="0"/>
      <w:marTop w:val="0"/>
      <w:marBottom w:val="0"/>
      <w:divBdr>
        <w:top w:val="none" w:sz="0" w:space="0" w:color="auto"/>
        <w:left w:val="none" w:sz="0" w:space="0" w:color="auto"/>
        <w:bottom w:val="none" w:sz="0" w:space="0" w:color="auto"/>
        <w:right w:val="none" w:sz="0" w:space="0" w:color="auto"/>
      </w:divBdr>
    </w:div>
    <w:div w:id="872885052">
      <w:bodyDiv w:val="1"/>
      <w:marLeft w:val="0"/>
      <w:marRight w:val="0"/>
      <w:marTop w:val="0"/>
      <w:marBottom w:val="0"/>
      <w:divBdr>
        <w:top w:val="none" w:sz="0" w:space="0" w:color="auto"/>
        <w:left w:val="none" w:sz="0" w:space="0" w:color="auto"/>
        <w:bottom w:val="none" w:sz="0" w:space="0" w:color="auto"/>
        <w:right w:val="none" w:sz="0" w:space="0" w:color="auto"/>
      </w:divBdr>
    </w:div>
    <w:div w:id="922841170">
      <w:bodyDiv w:val="1"/>
      <w:marLeft w:val="0"/>
      <w:marRight w:val="0"/>
      <w:marTop w:val="0"/>
      <w:marBottom w:val="0"/>
      <w:divBdr>
        <w:top w:val="none" w:sz="0" w:space="0" w:color="auto"/>
        <w:left w:val="none" w:sz="0" w:space="0" w:color="auto"/>
        <w:bottom w:val="none" w:sz="0" w:space="0" w:color="auto"/>
        <w:right w:val="none" w:sz="0" w:space="0" w:color="auto"/>
      </w:divBdr>
    </w:div>
    <w:div w:id="1007320706">
      <w:bodyDiv w:val="1"/>
      <w:marLeft w:val="0"/>
      <w:marRight w:val="0"/>
      <w:marTop w:val="0"/>
      <w:marBottom w:val="0"/>
      <w:divBdr>
        <w:top w:val="none" w:sz="0" w:space="0" w:color="auto"/>
        <w:left w:val="none" w:sz="0" w:space="0" w:color="auto"/>
        <w:bottom w:val="none" w:sz="0" w:space="0" w:color="auto"/>
        <w:right w:val="none" w:sz="0" w:space="0" w:color="auto"/>
      </w:divBdr>
    </w:div>
    <w:div w:id="1039932146">
      <w:bodyDiv w:val="1"/>
      <w:marLeft w:val="0"/>
      <w:marRight w:val="0"/>
      <w:marTop w:val="0"/>
      <w:marBottom w:val="0"/>
      <w:divBdr>
        <w:top w:val="none" w:sz="0" w:space="0" w:color="auto"/>
        <w:left w:val="none" w:sz="0" w:space="0" w:color="auto"/>
        <w:bottom w:val="none" w:sz="0" w:space="0" w:color="auto"/>
        <w:right w:val="none" w:sz="0" w:space="0" w:color="auto"/>
      </w:divBdr>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071733702">
      <w:bodyDiv w:val="1"/>
      <w:marLeft w:val="0"/>
      <w:marRight w:val="0"/>
      <w:marTop w:val="0"/>
      <w:marBottom w:val="0"/>
      <w:divBdr>
        <w:top w:val="none" w:sz="0" w:space="0" w:color="auto"/>
        <w:left w:val="none" w:sz="0" w:space="0" w:color="auto"/>
        <w:bottom w:val="none" w:sz="0" w:space="0" w:color="auto"/>
        <w:right w:val="none" w:sz="0" w:space="0" w:color="auto"/>
      </w:divBdr>
    </w:div>
    <w:div w:id="1106776053">
      <w:bodyDiv w:val="1"/>
      <w:marLeft w:val="0"/>
      <w:marRight w:val="0"/>
      <w:marTop w:val="0"/>
      <w:marBottom w:val="0"/>
      <w:divBdr>
        <w:top w:val="none" w:sz="0" w:space="0" w:color="auto"/>
        <w:left w:val="none" w:sz="0" w:space="0" w:color="auto"/>
        <w:bottom w:val="none" w:sz="0" w:space="0" w:color="auto"/>
        <w:right w:val="none" w:sz="0" w:space="0" w:color="auto"/>
      </w:divBdr>
    </w:div>
    <w:div w:id="1500079754">
      <w:bodyDiv w:val="1"/>
      <w:marLeft w:val="0"/>
      <w:marRight w:val="0"/>
      <w:marTop w:val="0"/>
      <w:marBottom w:val="0"/>
      <w:divBdr>
        <w:top w:val="none" w:sz="0" w:space="0" w:color="auto"/>
        <w:left w:val="none" w:sz="0" w:space="0" w:color="auto"/>
        <w:bottom w:val="none" w:sz="0" w:space="0" w:color="auto"/>
        <w:right w:val="none" w:sz="0" w:space="0" w:color="auto"/>
      </w:divBdr>
    </w:div>
    <w:div w:id="1539078057">
      <w:bodyDiv w:val="1"/>
      <w:marLeft w:val="0"/>
      <w:marRight w:val="0"/>
      <w:marTop w:val="0"/>
      <w:marBottom w:val="0"/>
      <w:divBdr>
        <w:top w:val="none" w:sz="0" w:space="0" w:color="auto"/>
        <w:left w:val="none" w:sz="0" w:space="0" w:color="auto"/>
        <w:bottom w:val="none" w:sz="0" w:space="0" w:color="auto"/>
        <w:right w:val="none" w:sz="0" w:space="0" w:color="auto"/>
      </w:divBdr>
    </w:div>
    <w:div w:id="1572426808">
      <w:bodyDiv w:val="1"/>
      <w:marLeft w:val="0"/>
      <w:marRight w:val="0"/>
      <w:marTop w:val="0"/>
      <w:marBottom w:val="0"/>
      <w:divBdr>
        <w:top w:val="none" w:sz="0" w:space="0" w:color="auto"/>
        <w:left w:val="none" w:sz="0" w:space="0" w:color="auto"/>
        <w:bottom w:val="none" w:sz="0" w:space="0" w:color="auto"/>
        <w:right w:val="none" w:sz="0" w:space="0" w:color="auto"/>
      </w:divBdr>
    </w:div>
    <w:div w:id="1575317858">
      <w:bodyDiv w:val="1"/>
      <w:marLeft w:val="0"/>
      <w:marRight w:val="0"/>
      <w:marTop w:val="0"/>
      <w:marBottom w:val="0"/>
      <w:divBdr>
        <w:top w:val="none" w:sz="0" w:space="0" w:color="auto"/>
        <w:left w:val="none" w:sz="0" w:space="0" w:color="auto"/>
        <w:bottom w:val="none" w:sz="0" w:space="0" w:color="auto"/>
        <w:right w:val="none" w:sz="0" w:space="0" w:color="auto"/>
      </w:divBdr>
    </w:div>
    <w:div w:id="1636526137">
      <w:bodyDiv w:val="1"/>
      <w:marLeft w:val="0"/>
      <w:marRight w:val="0"/>
      <w:marTop w:val="0"/>
      <w:marBottom w:val="0"/>
      <w:divBdr>
        <w:top w:val="none" w:sz="0" w:space="0" w:color="auto"/>
        <w:left w:val="none" w:sz="0" w:space="0" w:color="auto"/>
        <w:bottom w:val="none" w:sz="0" w:space="0" w:color="auto"/>
        <w:right w:val="none" w:sz="0" w:space="0" w:color="auto"/>
      </w:divBdr>
    </w:div>
    <w:div w:id="1806702121">
      <w:bodyDiv w:val="1"/>
      <w:marLeft w:val="0"/>
      <w:marRight w:val="0"/>
      <w:marTop w:val="0"/>
      <w:marBottom w:val="0"/>
      <w:divBdr>
        <w:top w:val="none" w:sz="0" w:space="0" w:color="auto"/>
        <w:left w:val="none" w:sz="0" w:space="0" w:color="auto"/>
        <w:bottom w:val="none" w:sz="0" w:space="0" w:color="auto"/>
        <w:right w:val="none" w:sz="0" w:space="0" w:color="auto"/>
      </w:divBdr>
    </w:div>
    <w:div w:id="1855533217">
      <w:bodyDiv w:val="1"/>
      <w:marLeft w:val="0"/>
      <w:marRight w:val="0"/>
      <w:marTop w:val="0"/>
      <w:marBottom w:val="0"/>
      <w:divBdr>
        <w:top w:val="none" w:sz="0" w:space="0" w:color="auto"/>
        <w:left w:val="none" w:sz="0" w:space="0" w:color="auto"/>
        <w:bottom w:val="none" w:sz="0" w:space="0" w:color="auto"/>
        <w:right w:val="none" w:sz="0" w:space="0" w:color="auto"/>
      </w:divBdr>
    </w:div>
    <w:div w:id="1924679777">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1998026777">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 w:id="20940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CECF-4774-428D-BC4F-87F252B9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28</cp:revision>
  <dcterms:created xsi:type="dcterms:W3CDTF">2020-08-04T23:42:00Z</dcterms:created>
  <dcterms:modified xsi:type="dcterms:W3CDTF">2021-01-14T20:22:00Z</dcterms:modified>
</cp:coreProperties>
</file>